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7C5D29" w14:paraId="781E2BE0" w14:textId="77777777">
        <w:tblPrEx>
          <w:tblCellMar>
            <w:top w:w="0" w:type="dxa"/>
            <w:bottom w:w="0" w:type="dxa"/>
          </w:tblCellMar>
        </w:tblPrEx>
        <w:trPr>
          <w:tblCellSpacing w:w="60" w:type="dxa"/>
        </w:trPr>
        <w:tc>
          <w:tcPr>
            <w:tcW w:w="1200" w:type="pct"/>
            <w:shd w:val="clear" w:color="auto" w:fill="E7F0F9"/>
          </w:tcPr>
          <w:p w14:paraId="3F08B2C5" w14:textId="77777777" w:rsidR="007C5D29" w:rsidRDefault="00A9463A">
            <w:pPr>
              <w:spacing w:after="0" w:line="240" w:lineRule="auto"/>
            </w:pPr>
            <w:proofErr w:type="spellStart"/>
            <w:r>
              <w:rPr>
                <w:b/>
              </w:rPr>
              <w:t>RKP</w:t>
            </w:r>
            <w:proofErr w:type="spellEnd"/>
            <w:r>
              <w:rPr>
                <w:b/>
              </w:rPr>
              <w:t xml:space="preserve"> broj</w:t>
            </w:r>
          </w:p>
        </w:tc>
        <w:tc>
          <w:tcPr>
            <w:tcW w:w="0" w:type="auto"/>
            <w:shd w:val="clear" w:color="auto" w:fill="E7F0F9"/>
          </w:tcPr>
          <w:p w14:paraId="4BBEF733" w14:textId="77777777" w:rsidR="007C5D29" w:rsidRDefault="00A9463A">
            <w:pPr>
              <w:spacing w:after="0" w:line="240" w:lineRule="auto"/>
            </w:pPr>
            <w:r>
              <w:t>23608</w:t>
            </w:r>
          </w:p>
        </w:tc>
      </w:tr>
      <w:tr w:rsidR="007C5D29" w14:paraId="2A6D25AE" w14:textId="77777777">
        <w:tblPrEx>
          <w:tblCellMar>
            <w:top w:w="0" w:type="dxa"/>
            <w:bottom w:w="0" w:type="dxa"/>
          </w:tblCellMar>
        </w:tblPrEx>
        <w:trPr>
          <w:tblCellSpacing w:w="60" w:type="dxa"/>
        </w:trPr>
        <w:tc>
          <w:tcPr>
            <w:tcW w:w="1200" w:type="pct"/>
            <w:shd w:val="clear" w:color="auto" w:fill="E7F0F9"/>
          </w:tcPr>
          <w:p w14:paraId="3886341A" w14:textId="77777777" w:rsidR="007C5D29" w:rsidRDefault="00A9463A">
            <w:pPr>
              <w:spacing w:after="0" w:line="240" w:lineRule="auto"/>
            </w:pPr>
            <w:r>
              <w:rPr>
                <w:b/>
              </w:rPr>
              <w:t>Naziv obveznika</w:t>
            </w:r>
          </w:p>
        </w:tc>
        <w:tc>
          <w:tcPr>
            <w:tcW w:w="0" w:type="auto"/>
            <w:shd w:val="clear" w:color="auto" w:fill="E7F0F9"/>
          </w:tcPr>
          <w:p w14:paraId="0F898983" w14:textId="77777777" w:rsidR="007C5D29" w:rsidRDefault="00A9463A">
            <w:pPr>
              <w:spacing w:after="0" w:line="240" w:lineRule="auto"/>
            </w:pPr>
            <w:r>
              <w:t>ZAVOD ZA OBNOVU DUBROVNIKA</w:t>
            </w:r>
          </w:p>
        </w:tc>
      </w:tr>
      <w:tr w:rsidR="007C5D29" w14:paraId="2DE3955D" w14:textId="77777777">
        <w:tblPrEx>
          <w:tblCellMar>
            <w:top w:w="0" w:type="dxa"/>
            <w:bottom w:w="0" w:type="dxa"/>
          </w:tblCellMar>
        </w:tblPrEx>
        <w:trPr>
          <w:tblCellSpacing w:w="60" w:type="dxa"/>
        </w:trPr>
        <w:tc>
          <w:tcPr>
            <w:tcW w:w="1200" w:type="pct"/>
            <w:shd w:val="clear" w:color="auto" w:fill="E7F0F9"/>
          </w:tcPr>
          <w:p w14:paraId="384B5BCE" w14:textId="77777777" w:rsidR="007C5D29" w:rsidRDefault="00A9463A">
            <w:pPr>
              <w:spacing w:after="0" w:line="240" w:lineRule="auto"/>
            </w:pPr>
            <w:r>
              <w:rPr>
                <w:b/>
              </w:rPr>
              <w:t>Razina</w:t>
            </w:r>
          </w:p>
        </w:tc>
        <w:tc>
          <w:tcPr>
            <w:tcW w:w="0" w:type="auto"/>
            <w:shd w:val="clear" w:color="auto" w:fill="E7F0F9"/>
          </w:tcPr>
          <w:p w14:paraId="3E0DAE46" w14:textId="77777777" w:rsidR="007C5D29" w:rsidRDefault="00A9463A">
            <w:pPr>
              <w:spacing w:after="0" w:line="240" w:lineRule="auto"/>
            </w:pPr>
            <w:r>
              <w:t>21</w:t>
            </w:r>
          </w:p>
        </w:tc>
      </w:tr>
    </w:tbl>
    <w:p w14:paraId="0EE5D3C6" w14:textId="77777777" w:rsidR="007C5D29" w:rsidRDefault="00A9463A">
      <w:r>
        <w:br/>
      </w:r>
    </w:p>
    <w:p w14:paraId="21FA153E" w14:textId="77777777" w:rsidR="007C5D29" w:rsidRDefault="00A9463A">
      <w:pPr>
        <w:spacing w:line="240" w:lineRule="auto"/>
        <w:jc w:val="center"/>
      </w:pPr>
      <w:r>
        <w:rPr>
          <w:b/>
          <w:sz w:val="28"/>
        </w:rPr>
        <w:t>BILJEŠKE UZ FINANCIJSKE IZVJEŠTAJE</w:t>
      </w:r>
    </w:p>
    <w:p w14:paraId="120DBBDA" w14:textId="77777777" w:rsidR="007C5D29" w:rsidRDefault="00A9463A">
      <w:pPr>
        <w:spacing w:line="240" w:lineRule="auto"/>
        <w:jc w:val="center"/>
      </w:pPr>
      <w:r>
        <w:rPr>
          <w:b/>
          <w:sz w:val="28"/>
        </w:rPr>
        <w:t>ZA RAZDOBLJE</w:t>
      </w:r>
    </w:p>
    <w:p w14:paraId="33EC42E2" w14:textId="77777777" w:rsidR="007C5D29" w:rsidRDefault="00A9463A">
      <w:pPr>
        <w:spacing w:line="240" w:lineRule="auto"/>
        <w:jc w:val="center"/>
      </w:pPr>
      <w:r>
        <w:rPr>
          <w:b/>
          <w:sz w:val="28"/>
        </w:rPr>
        <w:t>I - XII 2025.</w:t>
      </w:r>
    </w:p>
    <w:p w14:paraId="09CEA3C8" w14:textId="77777777" w:rsidR="007C5D29" w:rsidRDefault="007C5D29"/>
    <w:p w14:paraId="576DF4AA" w14:textId="77777777" w:rsidR="007C5D29" w:rsidRDefault="00A9463A">
      <w:pPr>
        <w:keepNext/>
        <w:spacing w:line="240" w:lineRule="auto"/>
        <w:jc w:val="center"/>
      </w:pPr>
      <w:r>
        <w:rPr>
          <w:b/>
          <w:sz w:val="28"/>
        </w:rPr>
        <w:t>Izvještaj o prihodima i rashodima, primicima i izdacima</w:t>
      </w:r>
    </w:p>
    <w:p w14:paraId="305002C3" w14:textId="77777777" w:rsidR="007C5D29" w:rsidRDefault="00A9463A">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7B87597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86C6FD"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58C8AB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B247CC"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795B97"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BB7AB6"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5F5D34" w14:textId="77777777" w:rsidR="007C5D29" w:rsidRDefault="00A9463A">
            <w:pPr>
              <w:keepNext/>
              <w:keepLines/>
              <w:spacing w:after="0" w:line="240" w:lineRule="auto"/>
              <w:jc w:val="center"/>
            </w:pPr>
            <w:r>
              <w:rPr>
                <w:b/>
                <w:sz w:val="18"/>
              </w:rPr>
              <w:t>Indeks (%)</w:t>
            </w:r>
          </w:p>
        </w:tc>
      </w:tr>
      <w:tr w:rsidR="007C5D29" w14:paraId="6CE08181" w14:textId="77777777">
        <w:tblPrEx>
          <w:tblCellMar>
            <w:top w:w="0" w:type="dxa"/>
            <w:bottom w:w="0" w:type="dxa"/>
          </w:tblCellMar>
        </w:tblPrEx>
        <w:trPr>
          <w:cantSplit/>
          <w:trHeight w:val="560"/>
        </w:trPr>
        <w:tc>
          <w:tcPr>
            <w:tcW w:w="700" w:type="dxa"/>
            <w:tcMar>
              <w:top w:w="0" w:type="dxa"/>
              <w:bottom w:w="0" w:type="dxa"/>
            </w:tcMar>
            <w:vAlign w:val="center"/>
          </w:tcPr>
          <w:p w14:paraId="12815387" w14:textId="77777777" w:rsidR="007C5D29" w:rsidRDefault="00A9463A">
            <w:pPr>
              <w:keepNext/>
              <w:keepLines/>
              <w:spacing w:after="0" w:line="240" w:lineRule="auto"/>
            </w:pPr>
            <w:r>
              <w:rPr>
                <w:sz w:val="18"/>
              </w:rPr>
              <w:t>6</w:t>
            </w:r>
          </w:p>
        </w:tc>
        <w:tc>
          <w:tcPr>
            <w:tcW w:w="3180" w:type="dxa"/>
            <w:tcMar>
              <w:top w:w="0" w:type="dxa"/>
              <w:bottom w:w="0" w:type="dxa"/>
            </w:tcMar>
            <w:vAlign w:val="center"/>
          </w:tcPr>
          <w:p w14:paraId="066E1539" w14:textId="77777777" w:rsidR="007C5D29" w:rsidRDefault="00A9463A">
            <w:pPr>
              <w:keepNext/>
              <w:keepLines/>
              <w:spacing w:after="0" w:line="240" w:lineRule="auto"/>
            </w:pPr>
            <w:r>
              <w:rPr>
                <w:sz w:val="18"/>
              </w:rPr>
              <w:t>PRIHODI POSLOVANJA (šifre 61+62+63+64+65+66+67+68)</w:t>
            </w:r>
          </w:p>
        </w:tc>
        <w:tc>
          <w:tcPr>
            <w:tcW w:w="700" w:type="dxa"/>
            <w:tcMar>
              <w:top w:w="0" w:type="dxa"/>
              <w:bottom w:w="0" w:type="dxa"/>
            </w:tcMar>
            <w:vAlign w:val="center"/>
          </w:tcPr>
          <w:p w14:paraId="4830E181" w14:textId="77777777" w:rsidR="007C5D29" w:rsidRDefault="00A9463A">
            <w:pPr>
              <w:keepNext/>
              <w:keepLines/>
              <w:spacing w:after="0" w:line="240" w:lineRule="auto"/>
            </w:pPr>
            <w:r>
              <w:rPr>
                <w:sz w:val="18"/>
              </w:rPr>
              <w:t>6</w:t>
            </w:r>
          </w:p>
        </w:tc>
        <w:tc>
          <w:tcPr>
            <w:tcW w:w="1860" w:type="dxa"/>
            <w:tcMar>
              <w:top w:w="0" w:type="dxa"/>
              <w:bottom w:w="0" w:type="dxa"/>
            </w:tcMar>
            <w:vAlign w:val="center"/>
          </w:tcPr>
          <w:p w14:paraId="1647FBBD" w14:textId="77777777" w:rsidR="007C5D29" w:rsidRDefault="00A9463A">
            <w:pPr>
              <w:keepNext/>
              <w:keepLines/>
              <w:spacing w:after="0" w:line="240" w:lineRule="auto"/>
              <w:jc w:val="right"/>
            </w:pPr>
            <w:r>
              <w:rPr>
                <w:sz w:val="18"/>
              </w:rPr>
              <w:t>1.977.602,24</w:t>
            </w:r>
          </w:p>
        </w:tc>
        <w:tc>
          <w:tcPr>
            <w:tcW w:w="1860" w:type="dxa"/>
            <w:tcMar>
              <w:top w:w="0" w:type="dxa"/>
              <w:bottom w:w="0" w:type="dxa"/>
            </w:tcMar>
            <w:vAlign w:val="center"/>
          </w:tcPr>
          <w:p w14:paraId="62914E63" w14:textId="77777777" w:rsidR="007C5D29" w:rsidRDefault="00A9463A">
            <w:pPr>
              <w:keepNext/>
              <w:keepLines/>
              <w:spacing w:after="0" w:line="240" w:lineRule="auto"/>
              <w:jc w:val="right"/>
            </w:pPr>
            <w:r>
              <w:rPr>
                <w:sz w:val="18"/>
              </w:rPr>
              <w:t>1.860.665,51</w:t>
            </w:r>
          </w:p>
        </w:tc>
        <w:tc>
          <w:tcPr>
            <w:tcW w:w="700" w:type="dxa"/>
            <w:tcMar>
              <w:top w:w="0" w:type="dxa"/>
              <w:bottom w:w="0" w:type="dxa"/>
            </w:tcMar>
            <w:vAlign w:val="center"/>
          </w:tcPr>
          <w:p w14:paraId="7B7905CD" w14:textId="77777777" w:rsidR="007C5D29" w:rsidRDefault="00A9463A">
            <w:pPr>
              <w:keepNext/>
              <w:keepLines/>
              <w:spacing w:after="0" w:line="240" w:lineRule="auto"/>
              <w:jc w:val="right"/>
            </w:pPr>
            <w:r>
              <w:rPr>
                <w:sz w:val="18"/>
              </w:rPr>
              <w:t>94,1</w:t>
            </w:r>
          </w:p>
        </w:tc>
      </w:tr>
      <w:tr w:rsidR="007C5D29" w14:paraId="4A68A958" w14:textId="77777777">
        <w:tblPrEx>
          <w:tblCellMar>
            <w:top w:w="0" w:type="dxa"/>
            <w:bottom w:w="0" w:type="dxa"/>
          </w:tblCellMar>
        </w:tblPrEx>
        <w:trPr>
          <w:cantSplit/>
          <w:trHeight w:val="560"/>
        </w:trPr>
        <w:tc>
          <w:tcPr>
            <w:tcW w:w="700" w:type="dxa"/>
            <w:tcMar>
              <w:top w:w="0" w:type="dxa"/>
              <w:bottom w:w="0" w:type="dxa"/>
            </w:tcMar>
            <w:vAlign w:val="center"/>
          </w:tcPr>
          <w:p w14:paraId="7BD531C3" w14:textId="77777777" w:rsidR="007C5D29" w:rsidRDefault="00A9463A">
            <w:pPr>
              <w:keepNext/>
              <w:keepLines/>
              <w:spacing w:after="0" w:line="240" w:lineRule="auto"/>
            </w:pPr>
            <w:r>
              <w:rPr>
                <w:sz w:val="18"/>
              </w:rPr>
              <w:t>3</w:t>
            </w:r>
          </w:p>
        </w:tc>
        <w:tc>
          <w:tcPr>
            <w:tcW w:w="3180" w:type="dxa"/>
            <w:tcMar>
              <w:top w:w="0" w:type="dxa"/>
              <w:bottom w:w="0" w:type="dxa"/>
            </w:tcMar>
            <w:vAlign w:val="center"/>
          </w:tcPr>
          <w:p w14:paraId="3CE30871" w14:textId="77777777" w:rsidR="007C5D29" w:rsidRDefault="00A9463A">
            <w:pPr>
              <w:keepNext/>
              <w:keepLines/>
              <w:spacing w:after="0" w:line="240" w:lineRule="auto"/>
            </w:pPr>
            <w:r>
              <w:rPr>
                <w:sz w:val="18"/>
              </w:rPr>
              <w:t xml:space="preserve">RASHODI POSLOVANJA (šifre </w:t>
            </w:r>
            <w:r>
              <w:rPr>
                <w:sz w:val="18"/>
              </w:rPr>
              <w:t>31+32+34+35+36+37+38)</w:t>
            </w:r>
          </w:p>
        </w:tc>
        <w:tc>
          <w:tcPr>
            <w:tcW w:w="700" w:type="dxa"/>
            <w:tcMar>
              <w:top w:w="0" w:type="dxa"/>
              <w:bottom w:w="0" w:type="dxa"/>
            </w:tcMar>
            <w:vAlign w:val="center"/>
          </w:tcPr>
          <w:p w14:paraId="6CC7A19A" w14:textId="77777777" w:rsidR="007C5D29" w:rsidRDefault="00A9463A">
            <w:pPr>
              <w:keepNext/>
              <w:keepLines/>
              <w:spacing w:after="0" w:line="240" w:lineRule="auto"/>
            </w:pPr>
            <w:r>
              <w:rPr>
                <w:sz w:val="18"/>
              </w:rPr>
              <w:t>3</w:t>
            </w:r>
          </w:p>
        </w:tc>
        <w:tc>
          <w:tcPr>
            <w:tcW w:w="1860" w:type="dxa"/>
            <w:tcMar>
              <w:top w:w="0" w:type="dxa"/>
              <w:bottom w:w="0" w:type="dxa"/>
            </w:tcMar>
            <w:vAlign w:val="center"/>
          </w:tcPr>
          <w:p w14:paraId="418F86E2" w14:textId="77777777" w:rsidR="007C5D29" w:rsidRDefault="00A9463A">
            <w:pPr>
              <w:keepNext/>
              <w:keepLines/>
              <w:spacing w:after="0" w:line="240" w:lineRule="auto"/>
              <w:jc w:val="right"/>
            </w:pPr>
            <w:r>
              <w:rPr>
                <w:sz w:val="18"/>
              </w:rPr>
              <w:t>496.079,17</w:t>
            </w:r>
          </w:p>
        </w:tc>
        <w:tc>
          <w:tcPr>
            <w:tcW w:w="1860" w:type="dxa"/>
            <w:tcMar>
              <w:top w:w="0" w:type="dxa"/>
              <w:bottom w:w="0" w:type="dxa"/>
            </w:tcMar>
            <w:vAlign w:val="center"/>
          </w:tcPr>
          <w:p w14:paraId="3A366258" w14:textId="77777777" w:rsidR="007C5D29" w:rsidRDefault="00A9463A">
            <w:pPr>
              <w:keepNext/>
              <w:keepLines/>
              <w:spacing w:after="0" w:line="240" w:lineRule="auto"/>
              <w:jc w:val="right"/>
            </w:pPr>
            <w:r>
              <w:rPr>
                <w:sz w:val="18"/>
              </w:rPr>
              <w:t>623.783,77</w:t>
            </w:r>
          </w:p>
        </w:tc>
        <w:tc>
          <w:tcPr>
            <w:tcW w:w="700" w:type="dxa"/>
            <w:tcMar>
              <w:top w:w="0" w:type="dxa"/>
              <w:bottom w:w="0" w:type="dxa"/>
            </w:tcMar>
            <w:vAlign w:val="center"/>
          </w:tcPr>
          <w:p w14:paraId="5367A66E" w14:textId="77777777" w:rsidR="007C5D29" w:rsidRDefault="00A9463A">
            <w:pPr>
              <w:keepNext/>
              <w:keepLines/>
              <w:spacing w:after="0" w:line="240" w:lineRule="auto"/>
              <w:jc w:val="right"/>
            </w:pPr>
            <w:r>
              <w:rPr>
                <w:sz w:val="18"/>
              </w:rPr>
              <w:t>125,7</w:t>
            </w:r>
          </w:p>
        </w:tc>
      </w:tr>
      <w:tr w:rsidR="007C5D29" w14:paraId="2D19DC89" w14:textId="77777777">
        <w:tblPrEx>
          <w:tblCellMar>
            <w:top w:w="0" w:type="dxa"/>
            <w:bottom w:w="0" w:type="dxa"/>
          </w:tblCellMar>
        </w:tblPrEx>
        <w:trPr>
          <w:cantSplit/>
          <w:trHeight w:val="560"/>
        </w:trPr>
        <w:tc>
          <w:tcPr>
            <w:tcW w:w="700" w:type="dxa"/>
            <w:tcMar>
              <w:top w:w="0" w:type="dxa"/>
              <w:bottom w:w="0" w:type="dxa"/>
            </w:tcMar>
            <w:vAlign w:val="center"/>
          </w:tcPr>
          <w:p w14:paraId="2C357793" w14:textId="77777777" w:rsidR="007C5D29" w:rsidRDefault="007C5D29">
            <w:pPr>
              <w:keepNext/>
              <w:keepLines/>
              <w:spacing w:after="0" w:line="240" w:lineRule="auto"/>
            </w:pPr>
          </w:p>
        </w:tc>
        <w:tc>
          <w:tcPr>
            <w:tcW w:w="3180" w:type="dxa"/>
            <w:tcMar>
              <w:top w:w="0" w:type="dxa"/>
              <w:bottom w:w="0" w:type="dxa"/>
            </w:tcMar>
            <w:vAlign w:val="center"/>
          </w:tcPr>
          <w:p w14:paraId="1A391DBE" w14:textId="77777777" w:rsidR="007C5D29" w:rsidRDefault="00A9463A">
            <w:pPr>
              <w:keepNext/>
              <w:keepLines/>
              <w:spacing w:after="0" w:line="240" w:lineRule="auto"/>
            </w:pPr>
            <w:r>
              <w:rPr>
                <w:b/>
                <w:sz w:val="18"/>
              </w:rPr>
              <w:t>VIŠAK PRIHODA POSLOVANJA (šifre 6-</w:t>
            </w:r>
            <w:proofErr w:type="spellStart"/>
            <w:r>
              <w:rPr>
                <w:b/>
                <w:sz w:val="18"/>
              </w:rPr>
              <w:t>Z005</w:t>
            </w:r>
            <w:proofErr w:type="spellEnd"/>
            <w:r>
              <w:rPr>
                <w:b/>
                <w:sz w:val="18"/>
              </w:rPr>
              <w:t>)</w:t>
            </w:r>
          </w:p>
        </w:tc>
        <w:tc>
          <w:tcPr>
            <w:tcW w:w="700" w:type="dxa"/>
            <w:tcMar>
              <w:top w:w="0" w:type="dxa"/>
              <w:bottom w:w="0" w:type="dxa"/>
            </w:tcMar>
            <w:vAlign w:val="center"/>
          </w:tcPr>
          <w:p w14:paraId="1C36C59C" w14:textId="77777777" w:rsidR="007C5D29" w:rsidRDefault="00A9463A">
            <w:pPr>
              <w:keepNext/>
              <w:keepLines/>
              <w:spacing w:after="0" w:line="240" w:lineRule="auto"/>
            </w:pPr>
            <w:proofErr w:type="spellStart"/>
            <w:r>
              <w:rPr>
                <w:b/>
                <w:sz w:val="18"/>
              </w:rPr>
              <w:t>X001</w:t>
            </w:r>
            <w:proofErr w:type="spellEnd"/>
          </w:p>
        </w:tc>
        <w:tc>
          <w:tcPr>
            <w:tcW w:w="1860" w:type="dxa"/>
            <w:tcMar>
              <w:top w:w="0" w:type="dxa"/>
              <w:bottom w:w="0" w:type="dxa"/>
            </w:tcMar>
            <w:vAlign w:val="center"/>
          </w:tcPr>
          <w:p w14:paraId="7C47C55D" w14:textId="77777777" w:rsidR="007C5D29" w:rsidRDefault="00A9463A">
            <w:pPr>
              <w:keepNext/>
              <w:keepLines/>
              <w:spacing w:after="0" w:line="240" w:lineRule="auto"/>
              <w:jc w:val="right"/>
            </w:pPr>
            <w:r>
              <w:rPr>
                <w:b/>
                <w:sz w:val="18"/>
              </w:rPr>
              <w:t>1.481.523,07</w:t>
            </w:r>
          </w:p>
        </w:tc>
        <w:tc>
          <w:tcPr>
            <w:tcW w:w="1860" w:type="dxa"/>
            <w:tcMar>
              <w:top w:w="0" w:type="dxa"/>
              <w:bottom w:w="0" w:type="dxa"/>
            </w:tcMar>
            <w:vAlign w:val="center"/>
          </w:tcPr>
          <w:p w14:paraId="686B7CDD" w14:textId="77777777" w:rsidR="007C5D29" w:rsidRDefault="00A9463A">
            <w:pPr>
              <w:keepNext/>
              <w:keepLines/>
              <w:spacing w:after="0" w:line="240" w:lineRule="auto"/>
              <w:jc w:val="right"/>
            </w:pPr>
            <w:r>
              <w:rPr>
                <w:b/>
                <w:sz w:val="18"/>
              </w:rPr>
              <w:t>1.236.881,74</w:t>
            </w:r>
          </w:p>
        </w:tc>
        <w:tc>
          <w:tcPr>
            <w:tcW w:w="700" w:type="dxa"/>
            <w:tcMar>
              <w:top w:w="0" w:type="dxa"/>
              <w:bottom w:w="0" w:type="dxa"/>
            </w:tcMar>
            <w:vAlign w:val="center"/>
          </w:tcPr>
          <w:p w14:paraId="7EA222B1" w14:textId="77777777" w:rsidR="007C5D29" w:rsidRDefault="00A9463A">
            <w:pPr>
              <w:keepNext/>
              <w:keepLines/>
              <w:spacing w:after="0" w:line="240" w:lineRule="auto"/>
              <w:jc w:val="right"/>
            </w:pPr>
            <w:r>
              <w:rPr>
                <w:b/>
                <w:sz w:val="18"/>
              </w:rPr>
              <w:t>83,5</w:t>
            </w:r>
          </w:p>
        </w:tc>
      </w:tr>
      <w:tr w:rsidR="007C5D29" w14:paraId="5EC4FA3E" w14:textId="77777777">
        <w:tblPrEx>
          <w:tblCellMar>
            <w:top w:w="0" w:type="dxa"/>
            <w:bottom w:w="0" w:type="dxa"/>
          </w:tblCellMar>
        </w:tblPrEx>
        <w:trPr>
          <w:cantSplit/>
          <w:trHeight w:val="560"/>
        </w:trPr>
        <w:tc>
          <w:tcPr>
            <w:tcW w:w="700" w:type="dxa"/>
            <w:tcMar>
              <w:top w:w="0" w:type="dxa"/>
              <w:bottom w:w="0" w:type="dxa"/>
            </w:tcMar>
            <w:vAlign w:val="center"/>
          </w:tcPr>
          <w:p w14:paraId="542E2D8A" w14:textId="77777777" w:rsidR="007C5D29" w:rsidRDefault="00A9463A">
            <w:pPr>
              <w:keepNext/>
              <w:keepLines/>
              <w:spacing w:after="0" w:line="240" w:lineRule="auto"/>
            </w:pPr>
            <w:r>
              <w:rPr>
                <w:sz w:val="18"/>
              </w:rPr>
              <w:t>7</w:t>
            </w:r>
          </w:p>
        </w:tc>
        <w:tc>
          <w:tcPr>
            <w:tcW w:w="3180" w:type="dxa"/>
            <w:tcMar>
              <w:top w:w="0" w:type="dxa"/>
              <w:bottom w:w="0" w:type="dxa"/>
            </w:tcMar>
            <w:vAlign w:val="center"/>
          </w:tcPr>
          <w:p w14:paraId="0A95E2B3" w14:textId="77777777" w:rsidR="007C5D29" w:rsidRDefault="00A9463A">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33269F28" w14:textId="77777777" w:rsidR="007C5D29" w:rsidRDefault="00A9463A">
            <w:pPr>
              <w:keepNext/>
              <w:keepLines/>
              <w:spacing w:after="0" w:line="240" w:lineRule="auto"/>
            </w:pPr>
            <w:r>
              <w:rPr>
                <w:sz w:val="18"/>
              </w:rPr>
              <w:t>7</w:t>
            </w:r>
          </w:p>
        </w:tc>
        <w:tc>
          <w:tcPr>
            <w:tcW w:w="1860" w:type="dxa"/>
            <w:tcMar>
              <w:top w:w="0" w:type="dxa"/>
              <w:bottom w:w="0" w:type="dxa"/>
            </w:tcMar>
            <w:vAlign w:val="center"/>
          </w:tcPr>
          <w:p w14:paraId="6BB488DC"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07F35D21" w14:textId="77777777" w:rsidR="007C5D29" w:rsidRDefault="00A9463A">
            <w:pPr>
              <w:keepNext/>
              <w:keepLines/>
              <w:spacing w:after="0" w:line="240" w:lineRule="auto"/>
              <w:jc w:val="right"/>
            </w:pPr>
            <w:r>
              <w:rPr>
                <w:sz w:val="18"/>
              </w:rPr>
              <w:t>0,00</w:t>
            </w:r>
          </w:p>
        </w:tc>
        <w:tc>
          <w:tcPr>
            <w:tcW w:w="700" w:type="dxa"/>
            <w:tcMar>
              <w:top w:w="0" w:type="dxa"/>
              <w:bottom w:w="0" w:type="dxa"/>
            </w:tcMar>
            <w:vAlign w:val="center"/>
          </w:tcPr>
          <w:p w14:paraId="1E48828C" w14:textId="77777777" w:rsidR="007C5D29" w:rsidRDefault="00A9463A">
            <w:pPr>
              <w:keepNext/>
              <w:keepLines/>
              <w:spacing w:after="0" w:line="240" w:lineRule="auto"/>
              <w:jc w:val="right"/>
            </w:pPr>
            <w:r>
              <w:rPr>
                <w:sz w:val="18"/>
              </w:rPr>
              <w:t>-</w:t>
            </w:r>
          </w:p>
        </w:tc>
      </w:tr>
      <w:tr w:rsidR="007C5D29" w14:paraId="686C3714" w14:textId="77777777">
        <w:tblPrEx>
          <w:tblCellMar>
            <w:top w:w="0" w:type="dxa"/>
            <w:bottom w:w="0" w:type="dxa"/>
          </w:tblCellMar>
        </w:tblPrEx>
        <w:trPr>
          <w:cantSplit/>
          <w:trHeight w:val="560"/>
        </w:trPr>
        <w:tc>
          <w:tcPr>
            <w:tcW w:w="700" w:type="dxa"/>
            <w:tcMar>
              <w:top w:w="0" w:type="dxa"/>
              <w:bottom w:w="0" w:type="dxa"/>
            </w:tcMar>
            <w:vAlign w:val="center"/>
          </w:tcPr>
          <w:p w14:paraId="45C0FE01" w14:textId="77777777" w:rsidR="007C5D29" w:rsidRDefault="00A9463A">
            <w:pPr>
              <w:keepNext/>
              <w:keepLines/>
              <w:spacing w:after="0" w:line="240" w:lineRule="auto"/>
            </w:pPr>
            <w:r>
              <w:rPr>
                <w:sz w:val="18"/>
              </w:rPr>
              <w:t>4</w:t>
            </w:r>
          </w:p>
        </w:tc>
        <w:tc>
          <w:tcPr>
            <w:tcW w:w="3180" w:type="dxa"/>
            <w:tcMar>
              <w:top w:w="0" w:type="dxa"/>
              <w:bottom w:w="0" w:type="dxa"/>
            </w:tcMar>
            <w:vAlign w:val="center"/>
          </w:tcPr>
          <w:p w14:paraId="17DD5245" w14:textId="77777777" w:rsidR="007C5D29" w:rsidRDefault="00A9463A">
            <w:pPr>
              <w:keepNext/>
              <w:keepLines/>
              <w:spacing w:after="0" w:line="240" w:lineRule="auto"/>
            </w:pPr>
            <w:r>
              <w:rPr>
                <w:sz w:val="18"/>
              </w:rPr>
              <w:t xml:space="preserve">Rashodi za nabavu nefinancijske </w:t>
            </w:r>
            <w:r>
              <w:rPr>
                <w:sz w:val="18"/>
              </w:rPr>
              <w:t>imovine (šifre 41+42+43+44+45)</w:t>
            </w:r>
          </w:p>
        </w:tc>
        <w:tc>
          <w:tcPr>
            <w:tcW w:w="700" w:type="dxa"/>
            <w:tcMar>
              <w:top w:w="0" w:type="dxa"/>
              <w:bottom w:w="0" w:type="dxa"/>
            </w:tcMar>
            <w:vAlign w:val="center"/>
          </w:tcPr>
          <w:p w14:paraId="20A9D5BE" w14:textId="77777777" w:rsidR="007C5D29" w:rsidRDefault="00A9463A">
            <w:pPr>
              <w:keepNext/>
              <w:keepLines/>
              <w:spacing w:after="0" w:line="240" w:lineRule="auto"/>
            </w:pPr>
            <w:r>
              <w:rPr>
                <w:sz w:val="18"/>
              </w:rPr>
              <w:t>4</w:t>
            </w:r>
          </w:p>
        </w:tc>
        <w:tc>
          <w:tcPr>
            <w:tcW w:w="1860" w:type="dxa"/>
            <w:tcMar>
              <w:top w:w="0" w:type="dxa"/>
              <w:bottom w:w="0" w:type="dxa"/>
            </w:tcMar>
            <w:vAlign w:val="center"/>
          </w:tcPr>
          <w:p w14:paraId="2E79A81A" w14:textId="77777777" w:rsidR="007C5D29" w:rsidRDefault="00A9463A">
            <w:pPr>
              <w:keepNext/>
              <w:keepLines/>
              <w:spacing w:after="0" w:line="240" w:lineRule="auto"/>
              <w:jc w:val="right"/>
            </w:pPr>
            <w:r>
              <w:rPr>
                <w:sz w:val="18"/>
              </w:rPr>
              <w:t>1.181.417,94</w:t>
            </w:r>
          </w:p>
        </w:tc>
        <w:tc>
          <w:tcPr>
            <w:tcW w:w="1860" w:type="dxa"/>
            <w:tcMar>
              <w:top w:w="0" w:type="dxa"/>
              <w:bottom w:w="0" w:type="dxa"/>
            </w:tcMar>
            <w:vAlign w:val="center"/>
          </w:tcPr>
          <w:p w14:paraId="0C32AB44" w14:textId="77777777" w:rsidR="007C5D29" w:rsidRDefault="00A9463A">
            <w:pPr>
              <w:keepNext/>
              <w:keepLines/>
              <w:spacing w:after="0" w:line="240" w:lineRule="auto"/>
              <w:jc w:val="right"/>
            </w:pPr>
            <w:r>
              <w:rPr>
                <w:sz w:val="18"/>
              </w:rPr>
              <w:t>1.618.236,46</w:t>
            </w:r>
          </w:p>
        </w:tc>
        <w:tc>
          <w:tcPr>
            <w:tcW w:w="700" w:type="dxa"/>
            <w:tcMar>
              <w:top w:w="0" w:type="dxa"/>
              <w:bottom w:w="0" w:type="dxa"/>
            </w:tcMar>
            <w:vAlign w:val="center"/>
          </w:tcPr>
          <w:p w14:paraId="0EE0FD90" w14:textId="77777777" w:rsidR="007C5D29" w:rsidRDefault="00A9463A">
            <w:pPr>
              <w:keepNext/>
              <w:keepLines/>
              <w:spacing w:after="0" w:line="240" w:lineRule="auto"/>
              <w:jc w:val="right"/>
            </w:pPr>
            <w:r>
              <w:rPr>
                <w:sz w:val="18"/>
              </w:rPr>
              <w:t>137,0</w:t>
            </w:r>
          </w:p>
        </w:tc>
      </w:tr>
      <w:tr w:rsidR="007C5D29" w14:paraId="2E035885" w14:textId="77777777">
        <w:tblPrEx>
          <w:tblCellMar>
            <w:top w:w="0" w:type="dxa"/>
            <w:bottom w:w="0" w:type="dxa"/>
          </w:tblCellMar>
        </w:tblPrEx>
        <w:trPr>
          <w:cantSplit/>
          <w:trHeight w:val="560"/>
        </w:trPr>
        <w:tc>
          <w:tcPr>
            <w:tcW w:w="700" w:type="dxa"/>
            <w:tcMar>
              <w:top w:w="0" w:type="dxa"/>
              <w:bottom w:w="0" w:type="dxa"/>
            </w:tcMar>
            <w:vAlign w:val="center"/>
          </w:tcPr>
          <w:p w14:paraId="1A89FC32" w14:textId="77777777" w:rsidR="007C5D29" w:rsidRDefault="007C5D29">
            <w:pPr>
              <w:keepNext/>
              <w:keepLines/>
              <w:spacing w:after="0" w:line="240" w:lineRule="auto"/>
            </w:pPr>
          </w:p>
        </w:tc>
        <w:tc>
          <w:tcPr>
            <w:tcW w:w="3180" w:type="dxa"/>
            <w:tcMar>
              <w:top w:w="0" w:type="dxa"/>
              <w:bottom w:w="0" w:type="dxa"/>
            </w:tcMar>
            <w:vAlign w:val="center"/>
          </w:tcPr>
          <w:p w14:paraId="3A9CBC4B" w14:textId="77777777" w:rsidR="007C5D29" w:rsidRDefault="00A9463A">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9F05094" w14:textId="77777777" w:rsidR="007C5D29" w:rsidRDefault="00A9463A">
            <w:pPr>
              <w:keepNext/>
              <w:keepLines/>
              <w:spacing w:after="0" w:line="240" w:lineRule="auto"/>
            </w:pPr>
            <w:proofErr w:type="spellStart"/>
            <w:r>
              <w:rPr>
                <w:b/>
                <w:sz w:val="18"/>
              </w:rPr>
              <w:t>Y002</w:t>
            </w:r>
            <w:proofErr w:type="spellEnd"/>
          </w:p>
        </w:tc>
        <w:tc>
          <w:tcPr>
            <w:tcW w:w="1860" w:type="dxa"/>
            <w:tcMar>
              <w:top w:w="0" w:type="dxa"/>
              <w:bottom w:w="0" w:type="dxa"/>
            </w:tcMar>
            <w:vAlign w:val="center"/>
          </w:tcPr>
          <w:p w14:paraId="0350149D" w14:textId="77777777" w:rsidR="007C5D29" w:rsidRDefault="00A9463A">
            <w:pPr>
              <w:keepNext/>
              <w:keepLines/>
              <w:spacing w:after="0" w:line="240" w:lineRule="auto"/>
              <w:jc w:val="right"/>
            </w:pPr>
            <w:r>
              <w:rPr>
                <w:b/>
                <w:sz w:val="18"/>
              </w:rPr>
              <w:t>1.181.417,94</w:t>
            </w:r>
          </w:p>
        </w:tc>
        <w:tc>
          <w:tcPr>
            <w:tcW w:w="1860" w:type="dxa"/>
            <w:tcMar>
              <w:top w:w="0" w:type="dxa"/>
              <w:bottom w:w="0" w:type="dxa"/>
            </w:tcMar>
            <w:vAlign w:val="center"/>
          </w:tcPr>
          <w:p w14:paraId="32336C28" w14:textId="77777777" w:rsidR="007C5D29" w:rsidRDefault="00A9463A">
            <w:pPr>
              <w:keepNext/>
              <w:keepLines/>
              <w:spacing w:after="0" w:line="240" w:lineRule="auto"/>
              <w:jc w:val="right"/>
            </w:pPr>
            <w:r>
              <w:rPr>
                <w:b/>
                <w:sz w:val="18"/>
              </w:rPr>
              <w:t>1.618.236,46</w:t>
            </w:r>
          </w:p>
        </w:tc>
        <w:tc>
          <w:tcPr>
            <w:tcW w:w="700" w:type="dxa"/>
            <w:tcMar>
              <w:top w:w="0" w:type="dxa"/>
              <w:bottom w:w="0" w:type="dxa"/>
            </w:tcMar>
            <w:vAlign w:val="center"/>
          </w:tcPr>
          <w:p w14:paraId="79C8F8F2" w14:textId="77777777" w:rsidR="007C5D29" w:rsidRDefault="00A9463A">
            <w:pPr>
              <w:keepNext/>
              <w:keepLines/>
              <w:spacing w:after="0" w:line="240" w:lineRule="auto"/>
              <w:jc w:val="right"/>
            </w:pPr>
            <w:r>
              <w:rPr>
                <w:b/>
                <w:sz w:val="18"/>
              </w:rPr>
              <w:t>137,0</w:t>
            </w:r>
          </w:p>
        </w:tc>
      </w:tr>
      <w:tr w:rsidR="007C5D29" w14:paraId="70818DDC" w14:textId="77777777">
        <w:tblPrEx>
          <w:tblCellMar>
            <w:top w:w="0" w:type="dxa"/>
            <w:bottom w:w="0" w:type="dxa"/>
          </w:tblCellMar>
        </w:tblPrEx>
        <w:trPr>
          <w:cantSplit/>
          <w:trHeight w:val="560"/>
        </w:trPr>
        <w:tc>
          <w:tcPr>
            <w:tcW w:w="700" w:type="dxa"/>
            <w:tcMar>
              <w:top w:w="0" w:type="dxa"/>
              <w:bottom w:w="0" w:type="dxa"/>
            </w:tcMar>
            <w:vAlign w:val="center"/>
          </w:tcPr>
          <w:p w14:paraId="5167C2DA" w14:textId="77777777" w:rsidR="007C5D29" w:rsidRDefault="00A9463A">
            <w:pPr>
              <w:keepNext/>
              <w:keepLines/>
              <w:spacing w:after="0" w:line="240" w:lineRule="auto"/>
            </w:pPr>
            <w:r>
              <w:rPr>
                <w:sz w:val="18"/>
              </w:rPr>
              <w:t>8</w:t>
            </w:r>
          </w:p>
        </w:tc>
        <w:tc>
          <w:tcPr>
            <w:tcW w:w="3180" w:type="dxa"/>
            <w:tcMar>
              <w:top w:w="0" w:type="dxa"/>
              <w:bottom w:w="0" w:type="dxa"/>
            </w:tcMar>
            <w:vAlign w:val="center"/>
          </w:tcPr>
          <w:p w14:paraId="14AB0B8D" w14:textId="77777777" w:rsidR="007C5D29" w:rsidRDefault="00A9463A">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0E6D859" w14:textId="77777777" w:rsidR="007C5D29" w:rsidRDefault="00A9463A">
            <w:pPr>
              <w:keepNext/>
              <w:keepLines/>
              <w:spacing w:after="0" w:line="240" w:lineRule="auto"/>
            </w:pPr>
            <w:r>
              <w:rPr>
                <w:sz w:val="18"/>
              </w:rPr>
              <w:t>8</w:t>
            </w:r>
          </w:p>
        </w:tc>
        <w:tc>
          <w:tcPr>
            <w:tcW w:w="1860" w:type="dxa"/>
            <w:tcMar>
              <w:top w:w="0" w:type="dxa"/>
              <w:bottom w:w="0" w:type="dxa"/>
            </w:tcMar>
            <w:vAlign w:val="center"/>
          </w:tcPr>
          <w:p w14:paraId="330683AF"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1BF690A4" w14:textId="77777777" w:rsidR="007C5D29" w:rsidRDefault="00A9463A">
            <w:pPr>
              <w:keepNext/>
              <w:keepLines/>
              <w:spacing w:after="0" w:line="240" w:lineRule="auto"/>
              <w:jc w:val="right"/>
            </w:pPr>
            <w:r>
              <w:rPr>
                <w:sz w:val="18"/>
              </w:rPr>
              <w:t>0,00</w:t>
            </w:r>
          </w:p>
        </w:tc>
        <w:tc>
          <w:tcPr>
            <w:tcW w:w="700" w:type="dxa"/>
            <w:tcMar>
              <w:top w:w="0" w:type="dxa"/>
              <w:bottom w:w="0" w:type="dxa"/>
            </w:tcMar>
            <w:vAlign w:val="center"/>
          </w:tcPr>
          <w:p w14:paraId="5D17AE2B" w14:textId="77777777" w:rsidR="007C5D29" w:rsidRDefault="00A9463A">
            <w:pPr>
              <w:keepNext/>
              <w:keepLines/>
              <w:spacing w:after="0" w:line="240" w:lineRule="auto"/>
              <w:jc w:val="right"/>
            </w:pPr>
            <w:r>
              <w:rPr>
                <w:sz w:val="18"/>
              </w:rPr>
              <w:t>-</w:t>
            </w:r>
          </w:p>
        </w:tc>
      </w:tr>
      <w:tr w:rsidR="007C5D29" w14:paraId="481AC6F9" w14:textId="77777777">
        <w:tblPrEx>
          <w:tblCellMar>
            <w:top w:w="0" w:type="dxa"/>
            <w:bottom w:w="0" w:type="dxa"/>
          </w:tblCellMar>
        </w:tblPrEx>
        <w:trPr>
          <w:cantSplit/>
          <w:trHeight w:val="560"/>
        </w:trPr>
        <w:tc>
          <w:tcPr>
            <w:tcW w:w="700" w:type="dxa"/>
            <w:tcMar>
              <w:top w:w="0" w:type="dxa"/>
              <w:bottom w:w="0" w:type="dxa"/>
            </w:tcMar>
            <w:vAlign w:val="center"/>
          </w:tcPr>
          <w:p w14:paraId="352C182D" w14:textId="77777777" w:rsidR="007C5D29" w:rsidRDefault="00A9463A">
            <w:pPr>
              <w:keepNext/>
              <w:keepLines/>
              <w:spacing w:after="0" w:line="240" w:lineRule="auto"/>
            </w:pPr>
            <w:r>
              <w:rPr>
                <w:sz w:val="18"/>
              </w:rPr>
              <w:t>5</w:t>
            </w:r>
          </w:p>
        </w:tc>
        <w:tc>
          <w:tcPr>
            <w:tcW w:w="3180" w:type="dxa"/>
            <w:tcMar>
              <w:top w:w="0" w:type="dxa"/>
              <w:bottom w:w="0" w:type="dxa"/>
            </w:tcMar>
            <w:vAlign w:val="center"/>
          </w:tcPr>
          <w:p w14:paraId="77A83582" w14:textId="77777777" w:rsidR="007C5D29" w:rsidRDefault="00A9463A">
            <w:pPr>
              <w:keepNext/>
              <w:keepLines/>
              <w:spacing w:after="0" w:line="240" w:lineRule="auto"/>
            </w:pPr>
            <w:r>
              <w:rPr>
                <w:sz w:val="18"/>
              </w:rPr>
              <w:t xml:space="preserve">Izdaci za </w:t>
            </w:r>
            <w:r>
              <w:rPr>
                <w:sz w:val="18"/>
              </w:rPr>
              <w:t>financijsku imovinu i otplate zajmova (šifre 51+52+53+54+55)</w:t>
            </w:r>
          </w:p>
        </w:tc>
        <w:tc>
          <w:tcPr>
            <w:tcW w:w="700" w:type="dxa"/>
            <w:tcMar>
              <w:top w:w="0" w:type="dxa"/>
              <w:bottom w:w="0" w:type="dxa"/>
            </w:tcMar>
            <w:vAlign w:val="center"/>
          </w:tcPr>
          <w:p w14:paraId="0B19C127" w14:textId="77777777" w:rsidR="007C5D29" w:rsidRDefault="00A9463A">
            <w:pPr>
              <w:keepNext/>
              <w:keepLines/>
              <w:spacing w:after="0" w:line="240" w:lineRule="auto"/>
            </w:pPr>
            <w:r>
              <w:rPr>
                <w:sz w:val="18"/>
              </w:rPr>
              <w:t>5</w:t>
            </w:r>
          </w:p>
        </w:tc>
        <w:tc>
          <w:tcPr>
            <w:tcW w:w="1860" w:type="dxa"/>
            <w:tcMar>
              <w:top w:w="0" w:type="dxa"/>
              <w:bottom w:w="0" w:type="dxa"/>
            </w:tcMar>
            <w:vAlign w:val="center"/>
          </w:tcPr>
          <w:p w14:paraId="7613B1A2"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6C928417" w14:textId="77777777" w:rsidR="007C5D29" w:rsidRDefault="00A9463A">
            <w:pPr>
              <w:keepNext/>
              <w:keepLines/>
              <w:spacing w:after="0" w:line="240" w:lineRule="auto"/>
              <w:jc w:val="right"/>
            </w:pPr>
            <w:r>
              <w:rPr>
                <w:sz w:val="18"/>
              </w:rPr>
              <w:t>0,00</w:t>
            </w:r>
          </w:p>
        </w:tc>
        <w:tc>
          <w:tcPr>
            <w:tcW w:w="700" w:type="dxa"/>
            <w:tcMar>
              <w:top w:w="0" w:type="dxa"/>
              <w:bottom w:w="0" w:type="dxa"/>
            </w:tcMar>
            <w:vAlign w:val="center"/>
          </w:tcPr>
          <w:p w14:paraId="4BE26A74" w14:textId="77777777" w:rsidR="007C5D29" w:rsidRDefault="00A9463A">
            <w:pPr>
              <w:keepNext/>
              <w:keepLines/>
              <w:spacing w:after="0" w:line="240" w:lineRule="auto"/>
              <w:jc w:val="right"/>
            </w:pPr>
            <w:r>
              <w:rPr>
                <w:sz w:val="18"/>
              </w:rPr>
              <w:t>-</w:t>
            </w:r>
          </w:p>
        </w:tc>
      </w:tr>
      <w:tr w:rsidR="007C5D29" w14:paraId="649B46C4" w14:textId="77777777">
        <w:tblPrEx>
          <w:tblCellMar>
            <w:top w:w="0" w:type="dxa"/>
            <w:bottom w:w="0" w:type="dxa"/>
          </w:tblCellMar>
        </w:tblPrEx>
        <w:trPr>
          <w:cantSplit/>
          <w:trHeight w:val="560"/>
        </w:trPr>
        <w:tc>
          <w:tcPr>
            <w:tcW w:w="700" w:type="dxa"/>
            <w:tcMar>
              <w:top w:w="0" w:type="dxa"/>
              <w:bottom w:w="0" w:type="dxa"/>
            </w:tcMar>
            <w:vAlign w:val="center"/>
          </w:tcPr>
          <w:p w14:paraId="46500856" w14:textId="77777777" w:rsidR="007C5D29" w:rsidRDefault="007C5D29">
            <w:pPr>
              <w:keepNext/>
              <w:keepLines/>
              <w:spacing w:after="0" w:line="240" w:lineRule="auto"/>
            </w:pPr>
          </w:p>
        </w:tc>
        <w:tc>
          <w:tcPr>
            <w:tcW w:w="3180" w:type="dxa"/>
            <w:tcMar>
              <w:top w:w="0" w:type="dxa"/>
              <w:bottom w:w="0" w:type="dxa"/>
            </w:tcMar>
            <w:vAlign w:val="center"/>
          </w:tcPr>
          <w:p w14:paraId="075CA8D5" w14:textId="77777777" w:rsidR="007C5D29" w:rsidRDefault="00A9463A">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08C5A1D7" w14:textId="77777777" w:rsidR="007C5D29" w:rsidRDefault="00A9463A">
            <w:pPr>
              <w:keepNext/>
              <w:keepLines/>
              <w:spacing w:after="0" w:line="240" w:lineRule="auto"/>
            </w:pPr>
            <w:proofErr w:type="spellStart"/>
            <w:r>
              <w:rPr>
                <w:b/>
                <w:sz w:val="18"/>
              </w:rPr>
              <w:t>X003</w:t>
            </w:r>
            <w:proofErr w:type="spellEnd"/>
            <w:r>
              <w:rPr>
                <w:b/>
                <w:sz w:val="18"/>
              </w:rPr>
              <w:t xml:space="preserve">, </w:t>
            </w:r>
            <w:proofErr w:type="spellStart"/>
            <w:r>
              <w:rPr>
                <w:b/>
                <w:sz w:val="18"/>
              </w:rPr>
              <w:t>Y003</w:t>
            </w:r>
            <w:proofErr w:type="spellEnd"/>
          </w:p>
        </w:tc>
        <w:tc>
          <w:tcPr>
            <w:tcW w:w="1860" w:type="dxa"/>
            <w:tcMar>
              <w:top w:w="0" w:type="dxa"/>
              <w:bottom w:w="0" w:type="dxa"/>
            </w:tcMar>
            <w:vAlign w:val="center"/>
          </w:tcPr>
          <w:p w14:paraId="20DE59E6" w14:textId="77777777" w:rsidR="007C5D29" w:rsidRDefault="00A9463A">
            <w:pPr>
              <w:keepNext/>
              <w:keepLines/>
              <w:spacing w:after="0" w:line="240" w:lineRule="auto"/>
              <w:jc w:val="right"/>
            </w:pPr>
            <w:r>
              <w:rPr>
                <w:b/>
                <w:sz w:val="18"/>
              </w:rPr>
              <w:t>0,00</w:t>
            </w:r>
          </w:p>
        </w:tc>
        <w:tc>
          <w:tcPr>
            <w:tcW w:w="1860" w:type="dxa"/>
            <w:tcMar>
              <w:top w:w="0" w:type="dxa"/>
              <w:bottom w:w="0" w:type="dxa"/>
            </w:tcMar>
            <w:vAlign w:val="center"/>
          </w:tcPr>
          <w:p w14:paraId="0D2B8727" w14:textId="77777777" w:rsidR="007C5D29" w:rsidRDefault="00A9463A">
            <w:pPr>
              <w:keepNext/>
              <w:keepLines/>
              <w:spacing w:after="0" w:line="240" w:lineRule="auto"/>
              <w:jc w:val="right"/>
            </w:pPr>
            <w:r>
              <w:rPr>
                <w:b/>
                <w:sz w:val="18"/>
              </w:rPr>
              <w:t>0,00</w:t>
            </w:r>
          </w:p>
        </w:tc>
        <w:tc>
          <w:tcPr>
            <w:tcW w:w="700" w:type="dxa"/>
            <w:tcMar>
              <w:top w:w="0" w:type="dxa"/>
              <w:bottom w:w="0" w:type="dxa"/>
            </w:tcMar>
            <w:vAlign w:val="center"/>
          </w:tcPr>
          <w:p w14:paraId="59EC984A" w14:textId="77777777" w:rsidR="007C5D29" w:rsidRDefault="00A9463A">
            <w:pPr>
              <w:keepNext/>
              <w:keepLines/>
              <w:spacing w:after="0" w:line="240" w:lineRule="auto"/>
              <w:jc w:val="right"/>
            </w:pPr>
            <w:r>
              <w:rPr>
                <w:b/>
                <w:sz w:val="18"/>
              </w:rPr>
              <w:t>-</w:t>
            </w:r>
          </w:p>
        </w:tc>
      </w:tr>
      <w:tr w:rsidR="007C5D29" w14:paraId="0D4979C0" w14:textId="77777777">
        <w:tblPrEx>
          <w:tblCellMar>
            <w:top w:w="0" w:type="dxa"/>
            <w:bottom w:w="0" w:type="dxa"/>
          </w:tblCellMar>
        </w:tblPrEx>
        <w:trPr>
          <w:cantSplit/>
          <w:trHeight w:val="560"/>
        </w:trPr>
        <w:tc>
          <w:tcPr>
            <w:tcW w:w="700" w:type="dxa"/>
            <w:tcMar>
              <w:top w:w="0" w:type="dxa"/>
              <w:bottom w:w="0" w:type="dxa"/>
            </w:tcMar>
            <w:vAlign w:val="center"/>
          </w:tcPr>
          <w:p w14:paraId="33F6BF05" w14:textId="77777777" w:rsidR="007C5D29" w:rsidRDefault="007C5D29">
            <w:pPr>
              <w:keepNext/>
              <w:keepLines/>
              <w:spacing w:after="0" w:line="240" w:lineRule="auto"/>
            </w:pPr>
          </w:p>
        </w:tc>
        <w:tc>
          <w:tcPr>
            <w:tcW w:w="3180" w:type="dxa"/>
            <w:tcMar>
              <w:top w:w="0" w:type="dxa"/>
              <w:bottom w:w="0" w:type="dxa"/>
            </w:tcMar>
            <w:vAlign w:val="center"/>
          </w:tcPr>
          <w:p w14:paraId="1C0AF949" w14:textId="77777777" w:rsidR="007C5D29" w:rsidRDefault="00A9463A">
            <w:pPr>
              <w:keepNext/>
              <w:keepLines/>
              <w:spacing w:after="0" w:line="240" w:lineRule="auto"/>
            </w:pPr>
            <w:r>
              <w:rPr>
                <w:b/>
                <w:sz w:val="18"/>
              </w:rPr>
              <w:t xml:space="preserve">MANJAK PRIHODA I PRIMITAKA (šifre </w:t>
            </w:r>
            <w:proofErr w:type="spellStart"/>
            <w:r>
              <w:rPr>
                <w:b/>
                <w:sz w:val="18"/>
              </w:rPr>
              <w:t>Y345-X678</w:t>
            </w:r>
            <w:proofErr w:type="spellEnd"/>
            <w:r>
              <w:rPr>
                <w:b/>
                <w:sz w:val="18"/>
              </w:rPr>
              <w:t>)</w:t>
            </w:r>
          </w:p>
        </w:tc>
        <w:tc>
          <w:tcPr>
            <w:tcW w:w="700" w:type="dxa"/>
            <w:tcMar>
              <w:top w:w="0" w:type="dxa"/>
              <w:bottom w:w="0" w:type="dxa"/>
            </w:tcMar>
            <w:vAlign w:val="center"/>
          </w:tcPr>
          <w:p w14:paraId="6C0A3085" w14:textId="77777777" w:rsidR="007C5D29" w:rsidRDefault="00A9463A">
            <w:pPr>
              <w:keepNext/>
              <w:keepLines/>
              <w:spacing w:after="0" w:line="240" w:lineRule="auto"/>
            </w:pPr>
            <w:proofErr w:type="spellStart"/>
            <w:r>
              <w:rPr>
                <w:b/>
                <w:sz w:val="18"/>
              </w:rPr>
              <w:t>Y005</w:t>
            </w:r>
            <w:proofErr w:type="spellEnd"/>
          </w:p>
        </w:tc>
        <w:tc>
          <w:tcPr>
            <w:tcW w:w="1860" w:type="dxa"/>
            <w:tcMar>
              <w:top w:w="0" w:type="dxa"/>
              <w:bottom w:w="0" w:type="dxa"/>
            </w:tcMar>
            <w:vAlign w:val="center"/>
          </w:tcPr>
          <w:p w14:paraId="5DF457B3" w14:textId="77777777" w:rsidR="007C5D29" w:rsidRDefault="00A9463A">
            <w:pPr>
              <w:keepNext/>
              <w:keepLines/>
              <w:spacing w:after="0" w:line="240" w:lineRule="auto"/>
              <w:jc w:val="right"/>
            </w:pPr>
            <w:r>
              <w:rPr>
                <w:b/>
                <w:sz w:val="18"/>
              </w:rPr>
              <w:t>0,00</w:t>
            </w:r>
          </w:p>
        </w:tc>
        <w:tc>
          <w:tcPr>
            <w:tcW w:w="1860" w:type="dxa"/>
            <w:tcMar>
              <w:top w:w="0" w:type="dxa"/>
              <w:bottom w:w="0" w:type="dxa"/>
            </w:tcMar>
            <w:vAlign w:val="center"/>
          </w:tcPr>
          <w:p w14:paraId="01D551C3" w14:textId="77777777" w:rsidR="007C5D29" w:rsidRDefault="00A9463A">
            <w:pPr>
              <w:keepNext/>
              <w:keepLines/>
              <w:spacing w:after="0" w:line="240" w:lineRule="auto"/>
              <w:jc w:val="right"/>
            </w:pPr>
            <w:r>
              <w:rPr>
                <w:b/>
                <w:sz w:val="18"/>
              </w:rPr>
              <w:t>381.354,72</w:t>
            </w:r>
          </w:p>
        </w:tc>
        <w:tc>
          <w:tcPr>
            <w:tcW w:w="700" w:type="dxa"/>
            <w:tcMar>
              <w:top w:w="0" w:type="dxa"/>
              <w:bottom w:w="0" w:type="dxa"/>
            </w:tcMar>
            <w:vAlign w:val="center"/>
          </w:tcPr>
          <w:p w14:paraId="6FAE503F" w14:textId="77777777" w:rsidR="007C5D29" w:rsidRDefault="00A9463A">
            <w:pPr>
              <w:keepNext/>
              <w:keepLines/>
              <w:spacing w:after="0" w:line="240" w:lineRule="auto"/>
              <w:jc w:val="right"/>
            </w:pPr>
            <w:r>
              <w:rPr>
                <w:b/>
                <w:sz w:val="18"/>
              </w:rPr>
              <w:t>-</w:t>
            </w:r>
          </w:p>
        </w:tc>
      </w:tr>
    </w:tbl>
    <w:p w14:paraId="56D084B4" w14:textId="77777777" w:rsidR="007C5D29" w:rsidRDefault="007C5D29">
      <w:pPr>
        <w:spacing w:after="0"/>
      </w:pPr>
    </w:p>
    <w:p w14:paraId="187FD1F2" w14:textId="77777777" w:rsidR="007C5D29" w:rsidRDefault="00A9463A">
      <w:r>
        <w:t>Ukupno ostvareni prihodi poslovanja u razdoblju I-XII 2025. godine iznose 1.860.665,51 eura te bilježe index 94,1 u odnosu na isto razdoblje 2024. godine. Smanjenje je posljedica smanjenja prihoda od pomoći proračuna iz drugih proračuna (Državni arhiv u Du</w:t>
      </w:r>
      <w:r>
        <w:t xml:space="preserve">brovniku-obnova palače </w:t>
      </w:r>
      <w:proofErr w:type="spellStart"/>
      <w:r>
        <w:t>Sponza</w:t>
      </w:r>
      <w:proofErr w:type="spellEnd"/>
      <w:r>
        <w:t>), kao i smanjenje prihoda iz nadležnog proračuna budući prihode iz nadležnog proračuna od 2025. godine evidentiramo po plaćenim obavezama(rashodima).Ukupno ostvareni rashodi poslovanja u razdoblju I-XII 2025. iznose 623.783,77</w:t>
      </w:r>
      <w:r>
        <w:t xml:space="preserve"> eura te bilježe index od 125,7 u odnosu na isto razdoblje 2024. godine. Najvećim </w:t>
      </w:r>
      <w:r>
        <w:lastRenderedPageBreak/>
        <w:t>dijelom su povećani radi porasta rashoda za zaposlene, te manjim dijelom porasta materijalni rashoda. Ukupni rashodi za nabavu nefinancijske imovine u razdoblju I-XII 2025. g</w:t>
      </w:r>
      <w:r>
        <w:t xml:space="preserve">odine iznose 1.618.236,46 eura te bilježe index 137,0. Povećani su radi veće realizacije obnove u 2025. godini. Manjak prihoda i primitaka za razdoblje I-XII 2025. godine iznosi 381.354,72 eura , dok preneseni višak iz 2024. godine iznosi 350.811 eura što </w:t>
      </w:r>
      <w:r>
        <w:t>rezultira manjkom prihoda i primitaka za razdoblje I-XII 2025 u iznosu od 30.543,72 eura. Iznos predstavlja metodološki manjak koji će se pokriti prihodima iz nadležnog proračuna u 2026. godini po plaćenim računima.</w:t>
      </w:r>
    </w:p>
    <w:p w14:paraId="7AA6019C" w14:textId="77777777" w:rsidR="007C5D29" w:rsidRDefault="00A9463A">
      <w:r>
        <w:br/>
      </w:r>
    </w:p>
    <w:p w14:paraId="4D98AF90" w14:textId="77777777" w:rsidR="007C5D29" w:rsidRDefault="00A9463A">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369F8B3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59404BF"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8700A2" w14:textId="77777777" w:rsidR="007C5D29" w:rsidRDefault="00A9463A">
            <w:pPr>
              <w:keepNext/>
              <w:keepLines/>
              <w:spacing w:after="0" w:line="240" w:lineRule="auto"/>
              <w:jc w:val="center"/>
            </w:pPr>
            <w:r>
              <w:rPr>
                <w:b/>
                <w:sz w:val="18"/>
              </w:rPr>
              <w:t>Opis s</w:t>
            </w:r>
            <w:r>
              <w:rPr>
                <w:b/>
                <w:sz w:val="18"/>
              </w:rPr>
              <w:t>tavke</w:t>
            </w:r>
          </w:p>
        </w:tc>
        <w:tc>
          <w:tcPr>
            <w:tcW w:w="700" w:type="dxa"/>
            <w:shd w:val="clear" w:color="auto" w:fill="E7F0F9"/>
            <w:tcMar>
              <w:top w:w="0" w:type="dxa"/>
              <w:bottom w:w="0" w:type="dxa"/>
            </w:tcMar>
            <w:vAlign w:val="center"/>
          </w:tcPr>
          <w:p w14:paraId="38301A66"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7182D6"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5B52608"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80D607" w14:textId="77777777" w:rsidR="007C5D29" w:rsidRDefault="00A9463A">
            <w:pPr>
              <w:keepNext/>
              <w:keepLines/>
              <w:spacing w:after="0" w:line="240" w:lineRule="auto"/>
              <w:jc w:val="center"/>
            </w:pPr>
            <w:r>
              <w:rPr>
                <w:b/>
                <w:sz w:val="18"/>
              </w:rPr>
              <w:t>Indeks (%)</w:t>
            </w:r>
          </w:p>
        </w:tc>
      </w:tr>
      <w:tr w:rsidR="007C5D29" w14:paraId="772FF147" w14:textId="77777777">
        <w:tblPrEx>
          <w:tblCellMar>
            <w:top w:w="0" w:type="dxa"/>
            <w:bottom w:w="0" w:type="dxa"/>
          </w:tblCellMar>
        </w:tblPrEx>
        <w:trPr>
          <w:cantSplit/>
          <w:trHeight w:val="560"/>
        </w:trPr>
        <w:tc>
          <w:tcPr>
            <w:tcW w:w="700" w:type="dxa"/>
            <w:tcMar>
              <w:top w:w="0" w:type="dxa"/>
              <w:bottom w:w="0" w:type="dxa"/>
            </w:tcMar>
            <w:vAlign w:val="center"/>
          </w:tcPr>
          <w:p w14:paraId="21AC40BB" w14:textId="77777777" w:rsidR="007C5D29" w:rsidRDefault="00A9463A">
            <w:pPr>
              <w:keepNext/>
              <w:keepLines/>
              <w:spacing w:after="0" w:line="240" w:lineRule="auto"/>
            </w:pPr>
            <w:r>
              <w:rPr>
                <w:sz w:val="18"/>
              </w:rPr>
              <w:t>633</w:t>
            </w:r>
          </w:p>
        </w:tc>
        <w:tc>
          <w:tcPr>
            <w:tcW w:w="3180" w:type="dxa"/>
            <w:tcMar>
              <w:top w:w="0" w:type="dxa"/>
              <w:bottom w:w="0" w:type="dxa"/>
            </w:tcMar>
            <w:vAlign w:val="center"/>
          </w:tcPr>
          <w:p w14:paraId="683BFC8E" w14:textId="77777777" w:rsidR="007C5D29" w:rsidRDefault="00A9463A">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6054BD62" w14:textId="77777777" w:rsidR="007C5D29" w:rsidRDefault="00A9463A">
            <w:pPr>
              <w:keepNext/>
              <w:keepLines/>
              <w:spacing w:after="0" w:line="240" w:lineRule="auto"/>
            </w:pPr>
            <w:r>
              <w:rPr>
                <w:sz w:val="18"/>
              </w:rPr>
              <w:t>633</w:t>
            </w:r>
          </w:p>
        </w:tc>
        <w:tc>
          <w:tcPr>
            <w:tcW w:w="1860" w:type="dxa"/>
            <w:tcMar>
              <w:top w:w="0" w:type="dxa"/>
              <w:bottom w:w="0" w:type="dxa"/>
            </w:tcMar>
            <w:vAlign w:val="center"/>
          </w:tcPr>
          <w:p w14:paraId="2DF244B9" w14:textId="77777777" w:rsidR="007C5D29" w:rsidRDefault="00A9463A">
            <w:pPr>
              <w:keepNext/>
              <w:keepLines/>
              <w:spacing w:after="0" w:line="240" w:lineRule="auto"/>
              <w:jc w:val="right"/>
            </w:pPr>
            <w:r>
              <w:rPr>
                <w:sz w:val="18"/>
              </w:rPr>
              <w:t>656.613,16</w:t>
            </w:r>
          </w:p>
        </w:tc>
        <w:tc>
          <w:tcPr>
            <w:tcW w:w="1860" w:type="dxa"/>
            <w:tcMar>
              <w:top w:w="0" w:type="dxa"/>
              <w:bottom w:w="0" w:type="dxa"/>
            </w:tcMar>
            <w:vAlign w:val="center"/>
          </w:tcPr>
          <w:p w14:paraId="42434B2B" w14:textId="77777777" w:rsidR="007C5D29" w:rsidRDefault="00A9463A">
            <w:pPr>
              <w:keepNext/>
              <w:keepLines/>
              <w:spacing w:after="0" w:line="240" w:lineRule="auto"/>
              <w:jc w:val="right"/>
            </w:pPr>
            <w:r>
              <w:rPr>
                <w:sz w:val="18"/>
              </w:rPr>
              <w:t>290.000,00</w:t>
            </w:r>
          </w:p>
        </w:tc>
        <w:tc>
          <w:tcPr>
            <w:tcW w:w="700" w:type="dxa"/>
            <w:tcMar>
              <w:top w:w="0" w:type="dxa"/>
              <w:bottom w:w="0" w:type="dxa"/>
            </w:tcMar>
            <w:vAlign w:val="center"/>
          </w:tcPr>
          <w:p w14:paraId="2AA781EB" w14:textId="77777777" w:rsidR="007C5D29" w:rsidRDefault="00A9463A">
            <w:pPr>
              <w:keepNext/>
              <w:keepLines/>
              <w:spacing w:after="0" w:line="240" w:lineRule="auto"/>
              <w:jc w:val="right"/>
            </w:pPr>
            <w:r>
              <w:rPr>
                <w:sz w:val="18"/>
              </w:rPr>
              <w:t>44,2</w:t>
            </w:r>
          </w:p>
        </w:tc>
      </w:tr>
    </w:tbl>
    <w:p w14:paraId="054839FE" w14:textId="77777777" w:rsidR="007C5D29" w:rsidRDefault="007C5D29">
      <w:pPr>
        <w:spacing w:after="0"/>
      </w:pPr>
    </w:p>
    <w:p w14:paraId="3EE568DD" w14:textId="77777777" w:rsidR="007C5D29" w:rsidRDefault="00A9463A">
      <w:r>
        <w:t xml:space="preserve">Stavka se odnosi na sredstva dobivena temeljem Sporazuma sa Državnim arhivom u Dubrovniku za obnovu Palače </w:t>
      </w:r>
      <w:proofErr w:type="spellStart"/>
      <w:r>
        <w:t>Sponza</w:t>
      </w:r>
      <w:proofErr w:type="spellEnd"/>
      <w:r>
        <w:t>. Sredstva su umanjena u odnosu na 2024. godinu budući je u 2024. godini zaprimljen iznos koji je prebačen u 2025. kao preneseni višak.</w:t>
      </w:r>
    </w:p>
    <w:p w14:paraId="01F4CAD8" w14:textId="77777777" w:rsidR="007C5D29" w:rsidRDefault="007C5D29"/>
    <w:p w14:paraId="27166ACE" w14:textId="77777777" w:rsidR="007C5D29" w:rsidRDefault="00A9463A">
      <w:pPr>
        <w:keepNext/>
        <w:spacing w:line="240" w:lineRule="auto"/>
        <w:jc w:val="center"/>
      </w:pPr>
      <w:r>
        <w:rPr>
          <w:sz w:val="28"/>
        </w:rPr>
        <w:t>Bilješ</w:t>
      </w:r>
      <w:r>
        <w:rPr>
          <w:sz w:val="28"/>
        </w:rPr>
        <w:t>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4B931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0C2C5E"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80EE039"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BCCEE2"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59AEAF"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8F4FB5"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F1AE52" w14:textId="77777777" w:rsidR="007C5D29" w:rsidRDefault="00A9463A">
            <w:pPr>
              <w:keepNext/>
              <w:keepLines/>
              <w:spacing w:after="0" w:line="240" w:lineRule="auto"/>
              <w:jc w:val="center"/>
            </w:pPr>
            <w:r>
              <w:rPr>
                <w:b/>
                <w:sz w:val="18"/>
              </w:rPr>
              <w:t>Indeks (%)</w:t>
            </w:r>
          </w:p>
        </w:tc>
      </w:tr>
      <w:tr w:rsidR="007C5D29" w14:paraId="62D9355E" w14:textId="77777777">
        <w:tblPrEx>
          <w:tblCellMar>
            <w:top w:w="0" w:type="dxa"/>
            <w:bottom w:w="0" w:type="dxa"/>
          </w:tblCellMar>
        </w:tblPrEx>
        <w:trPr>
          <w:cantSplit/>
          <w:trHeight w:val="560"/>
        </w:trPr>
        <w:tc>
          <w:tcPr>
            <w:tcW w:w="700" w:type="dxa"/>
            <w:tcMar>
              <w:top w:w="0" w:type="dxa"/>
              <w:bottom w:w="0" w:type="dxa"/>
            </w:tcMar>
            <w:vAlign w:val="center"/>
          </w:tcPr>
          <w:p w14:paraId="0FBCCBB5" w14:textId="77777777" w:rsidR="007C5D29" w:rsidRDefault="00A9463A">
            <w:pPr>
              <w:keepNext/>
              <w:keepLines/>
              <w:spacing w:after="0" w:line="240" w:lineRule="auto"/>
            </w:pPr>
            <w:r>
              <w:rPr>
                <w:sz w:val="18"/>
              </w:rPr>
              <w:t>6361</w:t>
            </w:r>
          </w:p>
        </w:tc>
        <w:tc>
          <w:tcPr>
            <w:tcW w:w="3180" w:type="dxa"/>
            <w:tcMar>
              <w:top w:w="0" w:type="dxa"/>
              <w:bottom w:w="0" w:type="dxa"/>
            </w:tcMar>
            <w:vAlign w:val="center"/>
          </w:tcPr>
          <w:p w14:paraId="58DF8F3B" w14:textId="77777777" w:rsidR="007C5D29" w:rsidRDefault="00A9463A">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14:paraId="1386B848" w14:textId="77777777" w:rsidR="007C5D29" w:rsidRDefault="00A9463A">
            <w:pPr>
              <w:keepNext/>
              <w:keepLines/>
              <w:spacing w:after="0" w:line="240" w:lineRule="auto"/>
            </w:pPr>
            <w:r>
              <w:rPr>
                <w:sz w:val="18"/>
              </w:rPr>
              <w:t>6361</w:t>
            </w:r>
          </w:p>
        </w:tc>
        <w:tc>
          <w:tcPr>
            <w:tcW w:w="1860" w:type="dxa"/>
            <w:tcMar>
              <w:top w:w="0" w:type="dxa"/>
              <w:bottom w:w="0" w:type="dxa"/>
            </w:tcMar>
            <w:vAlign w:val="center"/>
          </w:tcPr>
          <w:p w14:paraId="32586093" w14:textId="77777777" w:rsidR="007C5D29" w:rsidRDefault="00A9463A">
            <w:pPr>
              <w:keepNext/>
              <w:keepLines/>
              <w:spacing w:after="0" w:line="240" w:lineRule="auto"/>
              <w:jc w:val="right"/>
            </w:pPr>
            <w:r>
              <w:rPr>
                <w:sz w:val="18"/>
              </w:rPr>
              <w:t>214.243,87</w:t>
            </w:r>
          </w:p>
        </w:tc>
        <w:tc>
          <w:tcPr>
            <w:tcW w:w="1860" w:type="dxa"/>
            <w:tcMar>
              <w:top w:w="0" w:type="dxa"/>
              <w:bottom w:w="0" w:type="dxa"/>
            </w:tcMar>
            <w:vAlign w:val="center"/>
          </w:tcPr>
          <w:p w14:paraId="037DA6A5" w14:textId="77777777" w:rsidR="007C5D29" w:rsidRDefault="00A9463A">
            <w:pPr>
              <w:keepNext/>
              <w:keepLines/>
              <w:spacing w:after="0" w:line="240" w:lineRule="auto"/>
              <w:jc w:val="right"/>
            </w:pPr>
            <w:r>
              <w:rPr>
                <w:sz w:val="18"/>
              </w:rPr>
              <w:t>261.923,17</w:t>
            </w:r>
          </w:p>
        </w:tc>
        <w:tc>
          <w:tcPr>
            <w:tcW w:w="700" w:type="dxa"/>
            <w:tcMar>
              <w:top w:w="0" w:type="dxa"/>
              <w:bottom w:w="0" w:type="dxa"/>
            </w:tcMar>
            <w:vAlign w:val="center"/>
          </w:tcPr>
          <w:p w14:paraId="066EC71C" w14:textId="77777777" w:rsidR="007C5D29" w:rsidRDefault="00A9463A">
            <w:pPr>
              <w:keepNext/>
              <w:keepLines/>
              <w:spacing w:after="0" w:line="240" w:lineRule="auto"/>
              <w:jc w:val="right"/>
            </w:pPr>
            <w:r>
              <w:rPr>
                <w:sz w:val="18"/>
              </w:rPr>
              <w:t>122,3</w:t>
            </w:r>
          </w:p>
        </w:tc>
      </w:tr>
    </w:tbl>
    <w:p w14:paraId="41E139D4" w14:textId="77777777" w:rsidR="007C5D29" w:rsidRDefault="007C5D29">
      <w:pPr>
        <w:spacing w:after="0"/>
      </w:pPr>
    </w:p>
    <w:p w14:paraId="78745C52" w14:textId="77777777" w:rsidR="007C5D29" w:rsidRDefault="00A9463A">
      <w:r>
        <w:t>Stavka se odnosi na sredstva Ministarstva kulture i medija i Dubrovačko-neretvanske županije (dva od tri osnivača) za redovnu djelatnost rashode poslovanja. Bilježi index od 122,3. U odnosu na 2024. godinu iznos je povećan ponajviše radi porasta rashoda za</w:t>
      </w:r>
      <w:r>
        <w:t xml:space="preserve"> zaposlene, povećanja cijena.</w:t>
      </w:r>
    </w:p>
    <w:p w14:paraId="23069B9E" w14:textId="77777777" w:rsidR="007C5D29" w:rsidRDefault="007C5D29"/>
    <w:p w14:paraId="4F8CD08B" w14:textId="77777777" w:rsidR="007C5D29" w:rsidRDefault="00A9463A">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71733D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293DA9"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12F5C15"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C4361"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E1D174"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2D3A97"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E2D7877" w14:textId="77777777" w:rsidR="007C5D29" w:rsidRDefault="00A9463A">
            <w:pPr>
              <w:keepNext/>
              <w:keepLines/>
              <w:spacing w:after="0" w:line="240" w:lineRule="auto"/>
              <w:jc w:val="center"/>
            </w:pPr>
            <w:r>
              <w:rPr>
                <w:b/>
                <w:sz w:val="18"/>
              </w:rPr>
              <w:t>Indeks (%)</w:t>
            </w:r>
          </w:p>
        </w:tc>
      </w:tr>
      <w:tr w:rsidR="007C5D29" w14:paraId="0FA17D70" w14:textId="77777777">
        <w:tblPrEx>
          <w:tblCellMar>
            <w:top w:w="0" w:type="dxa"/>
            <w:bottom w:w="0" w:type="dxa"/>
          </w:tblCellMar>
        </w:tblPrEx>
        <w:trPr>
          <w:cantSplit/>
          <w:trHeight w:val="560"/>
        </w:trPr>
        <w:tc>
          <w:tcPr>
            <w:tcW w:w="700" w:type="dxa"/>
            <w:tcMar>
              <w:top w:w="0" w:type="dxa"/>
              <w:bottom w:w="0" w:type="dxa"/>
            </w:tcMar>
            <w:vAlign w:val="center"/>
          </w:tcPr>
          <w:p w14:paraId="6D01C026" w14:textId="77777777" w:rsidR="007C5D29" w:rsidRDefault="00A9463A">
            <w:pPr>
              <w:keepNext/>
              <w:keepLines/>
              <w:spacing w:after="0" w:line="240" w:lineRule="auto"/>
            </w:pPr>
            <w:r>
              <w:rPr>
                <w:sz w:val="18"/>
              </w:rPr>
              <w:t>65</w:t>
            </w:r>
          </w:p>
        </w:tc>
        <w:tc>
          <w:tcPr>
            <w:tcW w:w="3180" w:type="dxa"/>
            <w:tcMar>
              <w:top w:w="0" w:type="dxa"/>
              <w:bottom w:w="0" w:type="dxa"/>
            </w:tcMar>
            <w:vAlign w:val="center"/>
          </w:tcPr>
          <w:p w14:paraId="77357467" w14:textId="77777777" w:rsidR="007C5D29" w:rsidRDefault="00A9463A">
            <w:pPr>
              <w:keepNext/>
              <w:keepLines/>
              <w:spacing w:after="0" w:line="240" w:lineRule="auto"/>
            </w:pPr>
            <w:r>
              <w:rPr>
                <w:sz w:val="18"/>
              </w:rPr>
              <w:t xml:space="preserve">Prihodi od upravnih i administrativnih pristojbi, </w:t>
            </w:r>
            <w:r>
              <w:rPr>
                <w:sz w:val="18"/>
              </w:rPr>
              <w:t>pristojbi po posebnim propisima i naknada (šifre 651+652+653+654)</w:t>
            </w:r>
          </w:p>
        </w:tc>
        <w:tc>
          <w:tcPr>
            <w:tcW w:w="700" w:type="dxa"/>
            <w:tcMar>
              <w:top w:w="0" w:type="dxa"/>
              <w:bottom w:w="0" w:type="dxa"/>
            </w:tcMar>
            <w:vAlign w:val="center"/>
          </w:tcPr>
          <w:p w14:paraId="58BF8455" w14:textId="77777777" w:rsidR="007C5D29" w:rsidRDefault="00A9463A">
            <w:pPr>
              <w:keepNext/>
              <w:keepLines/>
              <w:spacing w:after="0" w:line="240" w:lineRule="auto"/>
            </w:pPr>
            <w:r>
              <w:rPr>
                <w:sz w:val="18"/>
              </w:rPr>
              <w:t>65</w:t>
            </w:r>
          </w:p>
        </w:tc>
        <w:tc>
          <w:tcPr>
            <w:tcW w:w="1860" w:type="dxa"/>
            <w:tcMar>
              <w:top w:w="0" w:type="dxa"/>
              <w:bottom w:w="0" w:type="dxa"/>
            </w:tcMar>
            <w:vAlign w:val="center"/>
          </w:tcPr>
          <w:p w14:paraId="4644A6E4" w14:textId="77777777" w:rsidR="007C5D29" w:rsidRDefault="00A9463A">
            <w:pPr>
              <w:keepNext/>
              <w:keepLines/>
              <w:spacing w:after="0" w:line="240" w:lineRule="auto"/>
              <w:jc w:val="right"/>
            </w:pPr>
            <w:r>
              <w:rPr>
                <w:sz w:val="18"/>
              </w:rPr>
              <w:t>26.002,31</w:t>
            </w:r>
          </w:p>
        </w:tc>
        <w:tc>
          <w:tcPr>
            <w:tcW w:w="1860" w:type="dxa"/>
            <w:tcMar>
              <w:top w:w="0" w:type="dxa"/>
              <w:bottom w:w="0" w:type="dxa"/>
            </w:tcMar>
            <w:vAlign w:val="center"/>
          </w:tcPr>
          <w:p w14:paraId="52C355E3" w14:textId="77777777" w:rsidR="007C5D29" w:rsidRDefault="00A9463A">
            <w:pPr>
              <w:keepNext/>
              <w:keepLines/>
              <w:spacing w:after="0" w:line="240" w:lineRule="auto"/>
              <w:jc w:val="right"/>
            </w:pPr>
            <w:r>
              <w:rPr>
                <w:sz w:val="18"/>
              </w:rPr>
              <w:t>18.112,60</w:t>
            </w:r>
          </w:p>
        </w:tc>
        <w:tc>
          <w:tcPr>
            <w:tcW w:w="700" w:type="dxa"/>
            <w:tcMar>
              <w:top w:w="0" w:type="dxa"/>
              <w:bottom w:w="0" w:type="dxa"/>
            </w:tcMar>
            <w:vAlign w:val="center"/>
          </w:tcPr>
          <w:p w14:paraId="2AC2D63C" w14:textId="77777777" w:rsidR="007C5D29" w:rsidRDefault="00A9463A">
            <w:pPr>
              <w:keepNext/>
              <w:keepLines/>
              <w:spacing w:after="0" w:line="240" w:lineRule="auto"/>
              <w:jc w:val="right"/>
            </w:pPr>
            <w:r>
              <w:rPr>
                <w:sz w:val="18"/>
              </w:rPr>
              <w:t>69,7</w:t>
            </w:r>
          </w:p>
        </w:tc>
      </w:tr>
    </w:tbl>
    <w:p w14:paraId="4155E9A9" w14:textId="77777777" w:rsidR="007C5D29" w:rsidRDefault="007C5D29">
      <w:pPr>
        <w:spacing w:after="0"/>
      </w:pPr>
    </w:p>
    <w:p w14:paraId="17F1C62C" w14:textId="77777777" w:rsidR="007C5D29" w:rsidRDefault="00A9463A">
      <w:r>
        <w:t>Stavka se odnosi na povrate sredstava uloženih u obnovu nekretnina za koju je realizirana prodaja od strane vlasnika, čime je nastala zakonska obveza izvršenja povrata uloženih sredstava Zavodu. Te je u 2025. ostvareno 18.112,60 eura povrata.</w:t>
      </w:r>
    </w:p>
    <w:p w14:paraId="314C4E4B" w14:textId="77777777" w:rsidR="007C5D29" w:rsidRDefault="007C5D29"/>
    <w:p w14:paraId="57645196" w14:textId="77777777" w:rsidR="007C5D29" w:rsidRDefault="00A9463A">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785E039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9AC621"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AFA34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7929E"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60773D"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5CB2FB5"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EF216B6" w14:textId="77777777" w:rsidR="007C5D29" w:rsidRDefault="00A9463A">
            <w:pPr>
              <w:keepNext/>
              <w:keepLines/>
              <w:spacing w:after="0" w:line="240" w:lineRule="auto"/>
              <w:jc w:val="center"/>
            </w:pPr>
            <w:r>
              <w:rPr>
                <w:b/>
                <w:sz w:val="18"/>
              </w:rPr>
              <w:t>Indeks (%)</w:t>
            </w:r>
          </w:p>
        </w:tc>
      </w:tr>
      <w:tr w:rsidR="007C5D29" w14:paraId="57A5FE75" w14:textId="77777777">
        <w:tblPrEx>
          <w:tblCellMar>
            <w:top w:w="0" w:type="dxa"/>
            <w:bottom w:w="0" w:type="dxa"/>
          </w:tblCellMar>
        </w:tblPrEx>
        <w:trPr>
          <w:cantSplit/>
          <w:trHeight w:val="560"/>
        </w:trPr>
        <w:tc>
          <w:tcPr>
            <w:tcW w:w="700" w:type="dxa"/>
            <w:tcMar>
              <w:top w:w="0" w:type="dxa"/>
              <w:bottom w:w="0" w:type="dxa"/>
            </w:tcMar>
            <w:vAlign w:val="center"/>
          </w:tcPr>
          <w:p w14:paraId="49BC3F33" w14:textId="77777777" w:rsidR="007C5D29" w:rsidRDefault="00A9463A">
            <w:pPr>
              <w:keepNext/>
              <w:keepLines/>
              <w:spacing w:after="0" w:line="240" w:lineRule="auto"/>
            </w:pPr>
            <w:r>
              <w:rPr>
                <w:sz w:val="18"/>
              </w:rPr>
              <w:t>6711</w:t>
            </w:r>
          </w:p>
        </w:tc>
        <w:tc>
          <w:tcPr>
            <w:tcW w:w="3180" w:type="dxa"/>
            <w:tcMar>
              <w:top w:w="0" w:type="dxa"/>
              <w:bottom w:w="0" w:type="dxa"/>
            </w:tcMar>
            <w:vAlign w:val="center"/>
          </w:tcPr>
          <w:p w14:paraId="55D159DF" w14:textId="77777777" w:rsidR="007C5D29" w:rsidRDefault="00A9463A">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5B71B1C0" w14:textId="77777777" w:rsidR="007C5D29" w:rsidRDefault="00A9463A">
            <w:pPr>
              <w:keepNext/>
              <w:keepLines/>
              <w:spacing w:after="0" w:line="240" w:lineRule="auto"/>
            </w:pPr>
            <w:r>
              <w:rPr>
                <w:sz w:val="18"/>
              </w:rPr>
              <w:t>6711</w:t>
            </w:r>
          </w:p>
        </w:tc>
        <w:tc>
          <w:tcPr>
            <w:tcW w:w="1860" w:type="dxa"/>
            <w:tcMar>
              <w:top w:w="0" w:type="dxa"/>
              <w:bottom w:w="0" w:type="dxa"/>
            </w:tcMar>
            <w:vAlign w:val="center"/>
          </w:tcPr>
          <w:p w14:paraId="33BD089D" w14:textId="77777777" w:rsidR="007C5D29" w:rsidRDefault="00A9463A">
            <w:pPr>
              <w:keepNext/>
              <w:keepLines/>
              <w:spacing w:after="0" w:line="240" w:lineRule="auto"/>
              <w:jc w:val="right"/>
            </w:pPr>
            <w:r>
              <w:rPr>
                <w:sz w:val="18"/>
              </w:rPr>
              <w:t>275.463,56</w:t>
            </w:r>
          </w:p>
        </w:tc>
        <w:tc>
          <w:tcPr>
            <w:tcW w:w="1860" w:type="dxa"/>
            <w:tcMar>
              <w:top w:w="0" w:type="dxa"/>
              <w:bottom w:w="0" w:type="dxa"/>
            </w:tcMar>
            <w:vAlign w:val="center"/>
          </w:tcPr>
          <w:p w14:paraId="76003E28" w14:textId="77777777" w:rsidR="007C5D29" w:rsidRDefault="00A9463A">
            <w:pPr>
              <w:keepNext/>
              <w:keepLines/>
              <w:spacing w:after="0" w:line="240" w:lineRule="auto"/>
              <w:jc w:val="right"/>
            </w:pPr>
            <w:r>
              <w:rPr>
                <w:sz w:val="18"/>
              </w:rPr>
              <w:t>305.674,68</w:t>
            </w:r>
          </w:p>
        </w:tc>
        <w:tc>
          <w:tcPr>
            <w:tcW w:w="700" w:type="dxa"/>
            <w:tcMar>
              <w:top w:w="0" w:type="dxa"/>
              <w:bottom w:w="0" w:type="dxa"/>
            </w:tcMar>
            <w:vAlign w:val="center"/>
          </w:tcPr>
          <w:p w14:paraId="025D7D8B" w14:textId="77777777" w:rsidR="007C5D29" w:rsidRDefault="00A9463A">
            <w:pPr>
              <w:keepNext/>
              <w:keepLines/>
              <w:spacing w:after="0" w:line="240" w:lineRule="auto"/>
              <w:jc w:val="right"/>
            </w:pPr>
            <w:r>
              <w:rPr>
                <w:sz w:val="18"/>
              </w:rPr>
              <w:t>111,0</w:t>
            </w:r>
          </w:p>
        </w:tc>
      </w:tr>
    </w:tbl>
    <w:p w14:paraId="161FBADB" w14:textId="77777777" w:rsidR="007C5D29" w:rsidRDefault="007C5D29">
      <w:pPr>
        <w:spacing w:after="0"/>
      </w:pPr>
    </w:p>
    <w:p w14:paraId="5A5020B3" w14:textId="77777777" w:rsidR="007C5D29" w:rsidRDefault="00A9463A">
      <w:r>
        <w:t>Stavka se odnosi na sredstva iz Proračuna Grada Dubrovnika( jedan od tri osnivača) kao našeg nadležnog proračuna za financiranje rashoda poslovanja. Bilježi index od 111,0. Povećanje u odnosu na 2024. godinu uglavnom je na rashodima za zaposlene, te u manj</w:t>
      </w:r>
      <w:r>
        <w:t>em dijelu na materijalnim rashodima.</w:t>
      </w:r>
    </w:p>
    <w:p w14:paraId="4F035542" w14:textId="77777777" w:rsidR="007C5D29" w:rsidRDefault="007C5D29"/>
    <w:p w14:paraId="4DEAA3D6" w14:textId="77777777" w:rsidR="007C5D29" w:rsidRDefault="00A9463A">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2BCBF56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D9C20EF"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9A842A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119B45"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7E6C0D"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03FB3A"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C9A501" w14:textId="77777777" w:rsidR="007C5D29" w:rsidRDefault="00A9463A">
            <w:pPr>
              <w:keepNext/>
              <w:keepLines/>
              <w:spacing w:after="0" w:line="240" w:lineRule="auto"/>
              <w:jc w:val="center"/>
            </w:pPr>
            <w:r>
              <w:rPr>
                <w:b/>
                <w:sz w:val="18"/>
              </w:rPr>
              <w:t>Indeks (%)</w:t>
            </w:r>
          </w:p>
        </w:tc>
      </w:tr>
      <w:tr w:rsidR="007C5D29" w14:paraId="28CE4042" w14:textId="77777777">
        <w:tblPrEx>
          <w:tblCellMar>
            <w:top w:w="0" w:type="dxa"/>
            <w:bottom w:w="0" w:type="dxa"/>
          </w:tblCellMar>
        </w:tblPrEx>
        <w:trPr>
          <w:cantSplit/>
          <w:trHeight w:val="560"/>
        </w:trPr>
        <w:tc>
          <w:tcPr>
            <w:tcW w:w="700" w:type="dxa"/>
            <w:tcMar>
              <w:top w:w="0" w:type="dxa"/>
              <w:bottom w:w="0" w:type="dxa"/>
            </w:tcMar>
            <w:vAlign w:val="center"/>
          </w:tcPr>
          <w:p w14:paraId="4A922252" w14:textId="77777777" w:rsidR="007C5D29" w:rsidRDefault="00A9463A">
            <w:pPr>
              <w:keepNext/>
              <w:keepLines/>
              <w:spacing w:after="0" w:line="240" w:lineRule="auto"/>
            </w:pPr>
            <w:r>
              <w:rPr>
                <w:sz w:val="18"/>
              </w:rPr>
              <w:t>6712</w:t>
            </w:r>
          </w:p>
        </w:tc>
        <w:tc>
          <w:tcPr>
            <w:tcW w:w="3180" w:type="dxa"/>
            <w:tcMar>
              <w:top w:w="0" w:type="dxa"/>
              <w:bottom w:w="0" w:type="dxa"/>
            </w:tcMar>
            <w:vAlign w:val="center"/>
          </w:tcPr>
          <w:p w14:paraId="633B7C94" w14:textId="77777777" w:rsidR="007C5D29" w:rsidRDefault="00A9463A">
            <w:pPr>
              <w:keepNext/>
              <w:keepLines/>
              <w:spacing w:after="0" w:line="240" w:lineRule="auto"/>
            </w:pPr>
            <w:r>
              <w:rPr>
                <w:sz w:val="18"/>
              </w:rPr>
              <w:t xml:space="preserve">Prihodi iz nadležnog proračuna za </w:t>
            </w:r>
            <w:r>
              <w:rPr>
                <w:sz w:val="18"/>
              </w:rPr>
              <w:t>financiranje rashoda za nabavu nefinancijske imovine</w:t>
            </w:r>
          </w:p>
        </w:tc>
        <w:tc>
          <w:tcPr>
            <w:tcW w:w="700" w:type="dxa"/>
            <w:tcMar>
              <w:top w:w="0" w:type="dxa"/>
              <w:bottom w:w="0" w:type="dxa"/>
            </w:tcMar>
            <w:vAlign w:val="center"/>
          </w:tcPr>
          <w:p w14:paraId="7C271CF8" w14:textId="77777777" w:rsidR="007C5D29" w:rsidRDefault="00A9463A">
            <w:pPr>
              <w:keepNext/>
              <w:keepLines/>
              <w:spacing w:after="0" w:line="240" w:lineRule="auto"/>
            </w:pPr>
            <w:r>
              <w:rPr>
                <w:sz w:val="18"/>
              </w:rPr>
              <w:t>6712</w:t>
            </w:r>
          </w:p>
        </w:tc>
        <w:tc>
          <w:tcPr>
            <w:tcW w:w="1860" w:type="dxa"/>
            <w:tcMar>
              <w:top w:w="0" w:type="dxa"/>
              <w:bottom w:w="0" w:type="dxa"/>
            </w:tcMar>
            <w:vAlign w:val="center"/>
          </w:tcPr>
          <w:p w14:paraId="038F42D2" w14:textId="77777777" w:rsidR="007C5D29" w:rsidRDefault="00A9463A">
            <w:pPr>
              <w:keepNext/>
              <w:keepLines/>
              <w:spacing w:after="0" w:line="240" w:lineRule="auto"/>
              <w:jc w:val="right"/>
            </w:pPr>
            <w:r>
              <w:rPr>
                <w:sz w:val="18"/>
              </w:rPr>
              <w:t>794.644,06</w:t>
            </w:r>
          </w:p>
        </w:tc>
        <w:tc>
          <w:tcPr>
            <w:tcW w:w="1860" w:type="dxa"/>
            <w:tcMar>
              <w:top w:w="0" w:type="dxa"/>
              <w:bottom w:w="0" w:type="dxa"/>
            </w:tcMar>
            <w:vAlign w:val="center"/>
          </w:tcPr>
          <w:p w14:paraId="2A0314FC" w14:textId="77777777" w:rsidR="007C5D29" w:rsidRDefault="00A9463A">
            <w:pPr>
              <w:keepNext/>
              <w:keepLines/>
              <w:spacing w:after="0" w:line="240" w:lineRule="auto"/>
              <w:jc w:val="right"/>
            </w:pPr>
            <w:r>
              <w:rPr>
                <w:sz w:val="18"/>
              </w:rPr>
              <w:t>977.268,24</w:t>
            </w:r>
          </w:p>
        </w:tc>
        <w:tc>
          <w:tcPr>
            <w:tcW w:w="700" w:type="dxa"/>
            <w:tcMar>
              <w:top w:w="0" w:type="dxa"/>
              <w:bottom w:w="0" w:type="dxa"/>
            </w:tcMar>
            <w:vAlign w:val="center"/>
          </w:tcPr>
          <w:p w14:paraId="5348BED8" w14:textId="77777777" w:rsidR="007C5D29" w:rsidRDefault="00A9463A">
            <w:pPr>
              <w:keepNext/>
              <w:keepLines/>
              <w:spacing w:after="0" w:line="240" w:lineRule="auto"/>
              <w:jc w:val="right"/>
            </w:pPr>
            <w:r>
              <w:rPr>
                <w:sz w:val="18"/>
              </w:rPr>
              <w:t>123,0</w:t>
            </w:r>
          </w:p>
        </w:tc>
      </w:tr>
    </w:tbl>
    <w:p w14:paraId="0B83EB03" w14:textId="77777777" w:rsidR="007C5D29" w:rsidRDefault="007C5D29">
      <w:pPr>
        <w:spacing w:after="0"/>
      </w:pPr>
    </w:p>
    <w:p w14:paraId="5EDB8D0F" w14:textId="77777777" w:rsidR="007C5D29" w:rsidRDefault="00A9463A">
      <w:r>
        <w:t>Stavka se odnosi na sredstva iz Proračuna Grada Dubrovnika( jedan od tri osnivača) kao našeg nadležnog proračuna za financiranje rashoda za nabavu nefinancijske imovine gdje evidentiramo rashode za obnovu Spomeniče cjeline, obnovu stanova te nabavu osnovni</w:t>
      </w:r>
      <w:r>
        <w:t>h sredstava za Zavod. Bilježi index od 123,0. Povećanje u odnosu na 2024. godinu je zbog veće realizacije obnove Spomeničke cjeline.</w:t>
      </w:r>
    </w:p>
    <w:p w14:paraId="27BF506B" w14:textId="77777777" w:rsidR="007C5D29" w:rsidRDefault="007C5D29"/>
    <w:p w14:paraId="717CD5C9" w14:textId="77777777" w:rsidR="007C5D29" w:rsidRDefault="00A9463A">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B7384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2273B5"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DBDD1FB"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2D3AE3"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038F2DA"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C96D9D" w14:textId="77777777" w:rsidR="007C5D29" w:rsidRDefault="00A9463A">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14:paraId="517EE066" w14:textId="77777777" w:rsidR="007C5D29" w:rsidRDefault="00A9463A">
            <w:pPr>
              <w:keepNext/>
              <w:keepLines/>
              <w:spacing w:after="0" w:line="240" w:lineRule="auto"/>
              <w:jc w:val="center"/>
            </w:pPr>
            <w:r>
              <w:rPr>
                <w:b/>
                <w:sz w:val="18"/>
              </w:rPr>
              <w:t>Indeks (%)</w:t>
            </w:r>
          </w:p>
        </w:tc>
      </w:tr>
      <w:tr w:rsidR="007C5D29" w14:paraId="7539B709" w14:textId="77777777">
        <w:tblPrEx>
          <w:tblCellMar>
            <w:top w:w="0" w:type="dxa"/>
            <w:bottom w:w="0" w:type="dxa"/>
          </w:tblCellMar>
        </w:tblPrEx>
        <w:trPr>
          <w:cantSplit/>
          <w:trHeight w:val="560"/>
        </w:trPr>
        <w:tc>
          <w:tcPr>
            <w:tcW w:w="700" w:type="dxa"/>
            <w:tcMar>
              <w:top w:w="0" w:type="dxa"/>
              <w:bottom w:w="0" w:type="dxa"/>
            </w:tcMar>
            <w:vAlign w:val="center"/>
          </w:tcPr>
          <w:p w14:paraId="699C7AEC" w14:textId="77777777" w:rsidR="007C5D29" w:rsidRDefault="00A9463A">
            <w:pPr>
              <w:keepNext/>
              <w:keepLines/>
              <w:spacing w:after="0" w:line="240" w:lineRule="auto"/>
            </w:pPr>
            <w:r>
              <w:rPr>
                <w:sz w:val="18"/>
              </w:rPr>
              <w:t>3111</w:t>
            </w:r>
          </w:p>
        </w:tc>
        <w:tc>
          <w:tcPr>
            <w:tcW w:w="3180" w:type="dxa"/>
            <w:tcMar>
              <w:top w:w="0" w:type="dxa"/>
              <w:bottom w:w="0" w:type="dxa"/>
            </w:tcMar>
            <w:vAlign w:val="center"/>
          </w:tcPr>
          <w:p w14:paraId="33249809" w14:textId="77777777" w:rsidR="007C5D29" w:rsidRDefault="00A9463A">
            <w:pPr>
              <w:keepNext/>
              <w:keepLines/>
              <w:spacing w:after="0" w:line="240" w:lineRule="auto"/>
            </w:pPr>
            <w:r>
              <w:rPr>
                <w:sz w:val="18"/>
              </w:rPr>
              <w:t>Plaće za redovan rad</w:t>
            </w:r>
          </w:p>
        </w:tc>
        <w:tc>
          <w:tcPr>
            <w:tcW w:w="700" w:type="dxa"/>
            <w:tcMar>
              <w:top w:w="0" w:type="dxa"/>
              <w:bottom w:w="0" w:type="dxa"/>
            </w:tcMar>
            <w:vAlign w:val="center"/>
          </w:tcPr>
          <w:p w14:paraId="1DE9651E" w14:textId="77777777" w:rsidR="007C5D29" w:rsidRDefault="00A9463A">
            <w:pPr>
              <w:keepNext/>
              <w:keepLines/>
              <w:spacing w:after="0" w:line="240" w:lineRule="auto"/>
            </w:pPr>
            <w:r>
              <w:rPr>
                <w:sz w:val="18"/>
              </w:rPr>
              <w:t>3111</w:t>
            </w:r>
          </w:p>
        </w:tc>
        <w:tc>
          <w:tcPr>
            <w:tcW w:w="1860" w:type="dxa"/>
            <w:tcMar>
              <w:top w:w="0" w:type="dxa"/>
              <w:bottom w:w="0" w:type="dxa"/>
            </w:tcMar>
            <w:vAlign w:val="center"/>
          </w:tcPr>
          <w:p w14:paraId="1DD8ED31" w14:textId="77777777" w:rsidR="007C5D29" w:rsidRDefault="00A9463A">
            <w:pPr>
              <w:keepNext/>
              <w:keepLines/>
              <w:spacing w:after="0" w:line="240" w:lineRule="auto"/>
              <w:jc w:val="right"/>
            </w:pPr>
            <w:r>
              <w:rPr>
                <w:sz w:val="18"/>
              </w:rPr>
              <w:t>311.124,81</w:t>
            </w:r>
          </w:p>
        </w:tc>
        <w:tc>
          <w:tcPr>
            <w:tcW w:w="1860" w:type="dxa"/>
            <w:tcMar>
              <w:top w:w="0" w:type="dxa"/>
              <w:bottom w:w="0" w:type="dxa"/>
            </w:tcMar>
            <w:vAlign w:val="center"/>
          </w:tcPr>
          <w:p w14:paraId="26103A9B" w14:textId="77777777" w:rsidR="007C5D29" w:rsidRDefault="00A9463A">
            <w:pPr>
              <w:keepNext/>
              <w:keepLines/>
              <w:spacing w:after="0" w:line="240" w:lineRule="auto"/>
              <w:jc w:val="right"/>
            </w:pPr>
            <w:r>
              <w:rPr>
                <w:sz w:val="18"/>
              </w:rPr>
              <w:t>387.795,90</w:t>
            </w:r>
          </w:p>
        </w:tc>
        <w:tc>
          <w:tcPr>
            <w:tcW w:w="700" w:type="dxa"/>
            <w:tcMar>
              <w:top w:w="0" w:type="dxa"/>
              <w:bottom w:w="0" w:type="dxa"/>
            </w:tcMar>
            <w:vAlign w:val="center"/>
          </w:tcPr>
          <w:p w14:paraId="57A522ED" w14:textId="77777777" w:rsidR="007C5D29" w:rsidRDefault="00A9463A">
            <w:pPr>
              <w:keepNext/>
              <w:keepLines/>
              <w:spacing w:after="0" w:line="240" w:lineRule="auto"/>
              <w:jc w:val="right"/>
            </w:pPr>
            <w:r>
              <w:rPr>
                <w:sz w:val="18"/>
              </w:rPr>
              <w:t>124,6</w:t>
            </w:r>
          </w:p>
        </w:tc>
      </w:tr>
    </w:tbl>
    <w:p w14:paraId="422FC569" w14:textId="77777777" w:rsidR="007C5D29" w:rsidRDefault="007C5D29">
      <w:pPr>
        <w:spacing w:after="0"/>
      </w:pPr>
    </w:p>
    <w:p w14:paraId="3DB531C6" w14:textId="77777777" w:rsidR="007C5D29" w:rsidRDefault="00A9463A">
      <w:r>
        <w:t>Bilježe index od 124,6. U odnosu na 2024. godinu povećani su radi povećanja osnovice za obračun plaća temeljem Zaključka Gradonačelnika klasa br. 120-01/25-01/02 koji je stupio na snagu 01. lipnja 2025. godine.</w:t>
      </w:r>
    </w:p>
    <w:p w14:paraId="6B435098" w14:textId="77777777" w:rsidR="007C5D29" w:rsidRDefault="007C5D29"/>
    <w:p w14:paraId="1077C4FE" w14:textId="77777777" w:rsidR="007C5D29" w:rsidRDefault="00A9463A">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B43C2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DCCFBCB"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BE48B71"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628B9"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14FD4D"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A46405F"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206EB4" w14:textId="77777777" w:rsidR="007C5D29" w:rsidRDefault="00A9463A">
            <w:pPr>
              <w:keepNext/>
              <w:keepLines/>
              <w:spacing w:after="0" w:line="240" w:lineRule="auto"/>
              <w:jc w:val="center"/>
            </w:pPr>
            <w:r>
              <w:rPr>
                <w:b/>
                <w:sz w:val="18"/>
              </w:rPr>
              <w:t>Indeks (%)</w:t>
            </w:r>
          </w:p>
        </w:tc>
      </w:tr>
      <w:tr w:rsidR="007C5D29" w14:paraId="36BD2936" w14:textId="77777777">
        <w:tblPrEx>
          <w:tblCellMar>
            <w:top w:w="0" w:type="dxa"/>
            <w:bottom w:w="0" w:type="dxa"/>
          </w:tblCellMar>
        </w:tblPrEx>
        <w:trPr>
          <w:cantSplit/>
          <w:trHeight w:val="560"/>
        </w:trPr>
        <w:tc>
          <w:tcPr>
            <w:tcW w:w="700" w:type="dxa"/>
            <w:tcMar>
              <w:top w:w="0" w:type="dxa"/>
              <w:bottom w:w="0" w:type="dxa"/>
            </w:tcMar>
            <w:vAlign w:val="center"/>
          </w:tcPr>
          <w:p w14:paraId="41833A01" w14:textId="77777777" w:rsidR="007C5D29" w:rsidRDefault="00A9463A">
            <w:pPr>
              <w:keepNext/>
              <w:keepLines/>
              <w:spacing w:after="0" w:line="240" w:lineRule="auto"/>
            </w:pPr>
            <w:r>
              <w:rPr>
                <w:sz w:val="18"/>
              </w:rPr>
              <w:t>312</w:t>
            </w:r>
          </w:p>
        </w:tc>
        <w:tc>
          <w:tcPr>
            <w:tcW w:w="3180" w:type="dxa"/>
            <w:tcMar>
              <w:top w:w="0" w:type="dxa"/>
              <w:bottom w:w="0" w:type="dxa"/>
            </w:tcMar>
            <w:vAlign w:val="center"/>
          </w:tcPr>
          <w:p w14:paraId="62550D41" w14:textId="77777777" w:rsidR="007C5D29" w:rsidRDefault="00A9463A">
            <w:pPr>
              <w:keepNext/>
              <w:keepLines/>
              <w:spacing w:after="0" w:line="240" w:lineRule="auto"/>
            </w:pPr>
            <w:r>
              <w:rPr>
                <w:sz w:val="18"/>
              </w:rPr>
              <w:t>Ostali rashodi za zaposlene</w:t>
            </w:r>
          </w:p>
        </w:tc>
        <w:tc>
          <w:tcPr>
            <w:tcW w:w="700" w:type="dxa"/>
            <w:tcMar>
              <w:top w:w="0" w:type="dxa"/>
              <w:bottom w:w="0" w:type="dxa"/>
            </w:tcMar>
            <w:vAlign w:val="center"/>
          </w:tcPr>
          <w:p w14:paraId="73EA6F18" w14:textId="77777777" w:rsidR="007C5D29" w:rsidRDefault="00A9463A">
            <w:pPr>
              <w:keepNext/>
              <w:keepLines/>
              <w:spacing w:after="0" w:line="240" w:lineRule="auto"/>
            </w:pPr>
            <w:r>
              <w:rPr>
                <w:sz w:val="18"/>
              </w:rPr>
              <w:t>312</w:t>
            </w:r>
          </w:p>
        </w:tc>
        <w:tc>
          <w:tcPr>
            <w:tcW w:w="1860" w:type="dxa"/>
            <w:tcMar>
              <w:top w:w="0" w:type="dxa"/>
              <w:bottom w:w="0" w:type="dxa"/>
            </w:tcMar>
            <w:vAlign w:val="center"/>
          </w:tcPr>
          <w:p w14:paraId="03B4EEEC" w14:textId="77777777" w:rsidR="007C5D29" w:rsidRDefault="00A9463A">
            <w:pPr>
              <w:keepNext/>
              <w:keepLines/>
              <w:spacing w:after="0" w:line="240" w:lineRule="auto"/>
              <w:jc w:val="right"/>
            </w:pPr>
            <w:r>
              <w:rPr>
                <w:sz w:val="18"/>
              </w:rPr>
              <w:t>32.542,03</w:t>
            </w:r>
          </w:p>
        </w:tc>
        <w:tc>
          <w:tcPr>
            <w:tcW w:w="1860" w:type="dxa"/>
            <w:tcMar>
              <w:top w:w="0" w:type="dxa"/>
              <w:bottom w:w="0" w:type="dxa"/>
            </w:tcMar>
            <w:vAlign w:val="center"/>
          </w:tcPr>
          <w:p w14:paraId="4F3E894F" w14:textId="77777777" w:rsidR="007C5D29" w:rsidRDefault="00A9463A">
            <w:pPr>
              <w:keepNext/>
              <w:keepLines/>
              <w:spacing w:after="0" w:line="240" w:lineRule="auto"/>
              <w:jc w:val="right"/>
            </w:pPr>
            <w:r>
              <w:rPr>
                <w:sz w:val="18"/>
              </w:rPr>
              <w:t>47.128,92</w:t>
            </w:r>
          </w:p>
        </w:tc>
        <w:tc>
          <w:tcPr>
            <w:tcW w:w="700" w:type="dxa"/>
            <w:tcMar>
              <w:top w:w="0" w:type="dxa"/>
              <w:bottom w:w="0" w:type="dxa"/>
            </w:tcMar>
            <w:vAlign w:val="center"/>
          </w:tcPr>
          <w:p w14:paraId="2D2670AB" w14:textId="77777777" w:rsidR="007C5D29" w:rsidRDefault="00A9463A">
            <w:pPr>
              <w:keepNext/>
              <w:keepLines/>
              <w:spacing w:after="0" w:line="240" w:lineRule="auto"/>
              <w:jc w:val="right"/>
            </w:pPr>
            <w:r>
              <w:rPr>
                <w:sz w:val="18"/>
              </w:rPr>
              <w:t>144,8</w:t>
            </w:r>
          </w:p>
        </w:tc>
      </w:tr>
    </w:tbl>
    <w:p w14:paraId="11E2D556" w14:textId="77777777" w:rsidR="007C5D29" w:rsidRDefault="007C5D29">
      <w:pPr>
        <w:spacing w:after="0"/>
      </w:pPr>
    </w:p>
    <w:p w14:paraId="461EFA1E" w14:textId="77777777" w:rsidR="007C5D29" w:rsidRDefault="00A9463A">
      <w:r>
        <w:t>Bilježe index od 144,8. U odnosu na 2024. povećani su budući je u 2025. godini pet zaposlenika steklo pravo na jubilarnu nagradu koje su i isplaćene. Isplaćena su božićnice, darovi djeci, regres, pomoć za bolovanje duže od 90 dana, te pomoć za rođenje djet</w:t>
      </w:r>
      <w:r>
        <w:t>eta na koje su zaposlenici stekli pravo.</w:t>
      </w:r>
    </w:p>
    <w:p w14:paraId="2D6E1B61" w14:textId="77777777" w:rsidR="007C5D29" w:rsidRDefault="007C5D29"/>
    <w:p w14:paraId="741D20D7" w14:textId="77777777" w:rsidR="007C5D29" w:rsidRDefault="00A9463A">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30B418B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81D8AF"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627FBA"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9CAC75B"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4EBE28"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E1E50A"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1C88AD" w14:textId="77777777" w:rsidR="007C5D29" w:rsidRDefault="00A9463A">
            <w:pPr>
              <w:keepNext/>
              <w:keepLines/>
              <w:spacing w:after="0" w:line="240" w:lineRule="auto"/>
              <w:jc w:val="center"/>
            </w:pPr>
            <w:r>
              <w:rPr>
                <w:b/>
                <w:sz w:val="18"/>
              </w:rPr>
              <w:t>Indeks (%)</w:t>
            </w:r>
          </w:p>
        </w:tc>
      </w:tr>
      <w:tr w:rsidR="007C5D29" w14:paraId="15A1DFAD" w14:textId="77777777">
        <w:tblPrEx>
          <w:tblCellMar>
            <w:top w:w="0" w:type="dxa"/>
            <w:bottom w:w="0" w:type="dxa"/>
          </w:tblCellMar>
        </w:tblPrEx>
        <w:trPr>
          <w:cantSplit/>
          <w:trHeight w:val="560"/>
        </w:trPr>
        <w:tc>
          <w:tcPr>
            <w:tcW w:w="700" w:type="dxa"/>
            <w:tcMar>
              <w:top w:w="0" w:type="dxa"/>
              <w:bottom w:w="0" w:type="dxa"/>
            </w:tcMar>
            <w:vAlign w:val="center"/>
          </w:tcPr>
          <w:p w14:paraId="0825AD81" w14:textId="77777777" w:rsidR="007C5D29" w:rsidRDefault="00A9463A">
            <w:pPr>
              <w:keepNext/>
              <w:keepLines/>
              <w:spacing w:after="0" w:line="240" w:lineRule="auto"/>
            </w:pPr>
            <w:r>
              <w:rPr>
                <w:sz w:val="18"/>
              </w:rPr>
              <w:t>313</w:t>
            </w:r>
          </w:p>
        </w:tc>
        <w:tc>
          <w:tcPr>
            <w:tcW w:w="3180" w:type="dxa"/>
            <w:tcMar>
              <w:top w:w="0" w:type="dxa"/>
              <w:bottom w:w="0" w:type="dxa"/>
            </w:tcMar>
            <w:vAlign w:val="center"/>
          </w:tcPr>
          <w:p w14:paraId="287DF319" w14:textId="77777777" w:rsidR="007C5D29" w:rsidRDefault="00A9463A">
            <w:pPr>
              <w:keepNext/>
              <w:keepLines/>
              <w:spacing w:after="0" w:line="240" w:lineRule="auto"/>
            </w:pPr>
            <w:r>
              <w:rPr>
                <w:sz w:val="18"/>
              </w:rPr>
              <w:t>Doprinosi na plaće (šifre 3131 do 3133)</w:t>
            </w:r>
          </w:p>
        </w:tc>
        <w:tc>
          <w:tcPr>
            <w:tcW w:w="700" w:type="dxa"/>
            <w:tcMar>
              <w:top w:w="0" w:type="dxa"/>
              <w:bottom w:w="0" w:type="dxa"/>
            </w:tcMar>
            <w:vAlign w:val="center"/>
          </w:tcPr>
          <w:p w14:paraId="02E3D9A2" w14:textId="77777777" w:rsidR="007C5D29" w:rsidRDefault="00A9463A">
            <w:pPr>
              <w:keepNext/>
              <w:keepLines/>
              <w:spacing w:after="0" w:line="240" w:lineRule="auto"/>
            </w:pPr>
            <w:r>
              <w:rPr>
                <w:sz w:val="18"/>
              </w:rPr>
              <w:t>313</w:t>
            </w:r>
          </w:p>
        </w:tc>
        <w:tc>
          <w:tcPr>
            <w:tcW w:w="1860" w:type="dxa"/>
            <w:tcMar>
              <w:top w:w="0" w:type="dxa"/>
              <w:bottom w:w="0" w:type="dxa"/>
            </w:tcMar>
            <w:vAlign w:val="center"/>
          </w:tcPr>
          <w:p w14:paraId="7A20BD44" w14:textId="77777777" w:rsidR="007C5D29" w:rsidRDefault="00A9463A">
            <w:pPr>
              <w:keepNext/>
              <w:keepLines/>
              <w:spacing w:after="0" w:line="240" w:lineRule="auto"/>
              <w:jc w:val="right"/>
            </w:pPr>
            <w:r>
              <w:rPr>
                <w:sz w:val="18"/>
              </w:rPr>
              <w:t>50.542,20</w:t>
            </w:r>
          </w:p>
        </w:tc>
        <w:tc>
          <w:tcPr>
            <w:tcW w:w="1860" w:type="dxa"/>
            <w:tcMar>
              <w:top w:w="0" w:type="dxa"/>
              <w:bottom w:w="0" w:type="dxa"/>
            </w:tcMar>
            <w:vAlign w:val="center"/>
          </w:tcPr>
          <w:p w14:paraId="5509DA5B" w14:textId="77777777" w:rsidR="007C5D29" w:rsidRDefault="00A9463A">
            <w:pPr>
              <w:keepNext/>
              <w:keepLines/>
              <w:spacing w:after="0" w:line="240" w:lineRule="auto"/>
              <w:jc w:val="right"/>
            </w:pPr>
            <w:r>
              <w:rPr>
                <w:sz w:val="18"/>
              </w:rPr>
              <w:t>62.770,68</w:t>
            </w:r>
          </w:p>
        </w:tc>
        <w:tc>
          <w:tcPr>
            <w:tcW w:w="700" w:type="dxa"/>
            <w:tcMar>
              <w:top w:w="0" w:type="dxa"/>
              <w:bottom w:w="0" w:type="dxa"/>
            </w:tcMar>
            <w:vAlign w:val="center"/>
          </w:tcPr>
          <w:p w14:paraId="760AC12D" w14:textId="77777777" w:rsidR="007C5D29" w:rsidRDefault="00A9463A">
            <w:pPr>
              <w:keepNext/>
              <w:keepLines/>
              <w:spacing w:after="0" w:line="240" w:lineRule="auto"/>
              <w:jc w:val="right"/>
            </w:pPr>
            <w:r>
              <w:rPr>
                <w:sz w:val="18"/>
              </w:rPr>
              <w:t>124,2</w:t>
            </w:r>
          </w:p>
        </w:tc>
      </w:tr>
    </w:tbl>
    <w:p w14:paraId="7E0E9AEE" w14:textId="77777777" w:rsidR="007C5D29" w:rsidRDefault="007C5D29">
      <w:pPr>
        <w:spacing w:after="0"/>
      </w:pPr>
    </w:p>
    <w:p w14:paraId="115A8750" w14:textId="77777777" w:rsidR="007C5D29" w:rsidRDefault="00A9463A">
      <w:r>
        <w:t>Bilježe index od 124,2. U odnosu na 2024. godinu povećani su radi povećanja osnovice za obračun plaća temeljem Zaključka Gradonačelnika klasa br. 120-01/25-01/02 koji je stupio na snagu 01. lipnja 2025. godine. U 2025. godini i dalje traje izuzeće obveze p</w:t>
      </w:r>
      <w:r>
        <w:t>laćanja doprinosa za djelatnicu koja je zaposlena na neodređeno vrijeme 2021. kao mlada osoba prema odredbama Zakona o doprinosima.</w:t>
      </w:r>
    </w:p>
    <w:p w14:paraId="5905BC70" w14:textId="77777777" w:rsidR="007C5D29" w:rsidRDefault="007C5D29"/>
    <w:p w14:paraId="4C1AED41" w14:textId="77777777" w:rsidR="007C5D29" w:rsidRDefault="00A9463A">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E36EB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0CA4EA"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1F77BB"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24108CB"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FB0EA3"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6D7A94" w14:textId="77777777" w:rsidR="007C5D29" w:rsidRDefault="00A9463A">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14:paraId="500440CD" w14:textId="77777777" w:rsidR="007C5D29" w:rsidRDefault="00A9463A">
            <w:pPr>
              <w:keepNext/>
              <w:keepLines/>
              <w:spacing w:after="0" w:line="240" w:lineRule="auto"/>
              <w:jc w:val="center"/>
            </w:pPr>
            <w:r>
              <w:rPr>
                <w:b/>
                <w:sz w:val="18"/>
              </w:rPr>
              <w:t>Indeks (%)</w:t>
            </w:r>
          </w:p>
        </w:tc>
      </w:tr>
      <w:tr w:rsidR="007C5D29" w14:paraId="5827C7E6" w14:textId="77777777">
        <w:tblPrEx>
          <w:tblCellMar>
            <w:top w:w="0" w:type="dxa"/>
            <w:bottom w:w="0" w:type="dxa"/>
          </w:tblCellMar>
        </w:tblPrEx>
        <w:trPr>
          <w:cantSplit/>
          <w:trHeight w:val="560"/>
        </w:trPr>
        <w:tc>
          <w:tcPr>
            <w:tcW w:w="700" w:type="dxa"/>
            <w:tcMar>
              <w:top w:w="0" w:type="dxa"/>
              <w:bottom w:w="0" w:type="dxa"/>
            </w:tcMar>
            <w:vAlign w:val="center"/>
          </w:tcPr>
          <w:p w14:paraId="2C006CC4" w14:textId="77777777" w:rsidR="007C5D29" w:rsidRDefault="00A9463A">
            <w:pPr>
              <w:keepNext/>
              <w:keepLines/>
              <w:spacing w:after="0" w:line="240" w:lineRule="auto"/>
            </w:pPr>
            <w:r>
              <w:rPr>
                <w:sz w:val="18"/>
              </w:rPr>
              <w:t>3211</w:t>
            </w:r>
          </w:p>
        </w:tc>
        <w:tc>
          <w:tcPr>
            <w:tcW w:w="3180" w:type="dxa"/>
            <w:tcMar>
              <w:top w:w="0" w:type="dxa"/>
              <w:bottom w:w="0" w:type="dxa"/>
            </w:tcMar>
            <w:vAlign w:val="center"/>
          </w:tcPr>
          <w:p w14:paraId="27596083" w14:textId="77777777" w:rsidR="007C5D29" w:rsidRDefault="00A9463A">
            <w:pPr>
              <w:keepNext/>
              <w:keepLines/>
              <w:spacing w:after="0" w:line="240" w:lineRule="auto"/>
            </w:pPr>
            <w:r>
              <w:rPr>
                <w:sz w:val="18"/>
              </w:rPr>
              <w:t>Službena putovanja</w:t>
            </w:r>
          </w:p>
        </w:tc>
        <w:tc>
          <w:tcPr>
            <w:tcW w:w="700" w:type="dxa"/>
            <w:tcMar>
              <w:top w:w="0" w:type="dxa"/>
              <w:bottom w:w="0" w:type="dxa"/>
            </w:tcMar>
            <w:vAlign w:val="center"/>
          </w:tcPr>
          <w:p w14:paraId="2AD85C1B" w14:textId="77777777" w:rsidR="007C5D29" w:rsidRDefault="00A9463A">
            <w:pPr>
              <w:keepNext/>
              <w:keepLines/>
              <w:spacing w:after="0" w:line="240" w:lineRule="auto"/>
            </w:pPr>
            <w:r>
              <w:rPr>
                <w:sz w:val="18"/>
              </w:rPr>
              <w:t>3211</w:t>
            </w:r>
          </w:p>
        </w:tc>
        <w:tc>
          <w:tcPr>
            <w:tcW w:w="1860" w:type="dxa"/>
            <w:tcMar>
              <w:top w:w="0" w:type="dxa"/>
              <w:bottom w:w="0" w:type="dxa"/>
            </w:tcMar>
            <w:vAlign w:val="center"/>
          </w:tcPr>
          <w:p w14:paraId="49523B78" w14:textId="77777777" w:rsidR="007C5D29" w:rsidRDefault="00A9463A">
            <w:pPr>
              <w:keepNext/>
              <w:keepLines/>
              <w:spacing w:after="0" w:line="240" w:lineRule="auto"/>
              <w:jc w:val="right"/>
            </w:pPr>
            <w:r>
              <w:rPr>
                <w:sz w:val="18"/>
              </w:rPr>
              <w:t>9.557,87</w:t>
            </w:r>
          </w:p>
        </w:tc>
        <w:tc>
          <w:tcPr>
            <w:tcW w:w="1860" w:type="dxa"/>
            <w:tcMar>
              <w:top w:w="0" w:type="dxa"/>
              <w:bottom w:w="0" w:type="dxa"/>
            </w:tcMar>
            <w:vAlign w:val="center"/>
          </w:tcPr>
          <w:p w14:paraId="72C04541" w14:textId="77777777" w:rsidR="007C5D29" w:rsidRDefault="00A9463A">
            <w:pPr>
              <w:keepNext/>
              <w:keepLines/>
              <w:spacing w:after="0" w:line="240" w:lineRule="auto"/>
              <w:jc w:val="right"/>
            </w:pPr>
            <w:r>
              <w:rPr>
                <w:sz w:val="18"/>
              </w:rPr>
              <w:t>15.146,19</w:t>
            </w:r>
          </w:p>
        </w:tc>
        <w:tc>
          <w:tcPr>
            <w:tcW w:w="700" w:type="dxa"/>
            <w:tcMar>
              <w:top w:w="0" w:type="dxa"/>
              <w:bottom w:w="0" w:type="dxa"/>
            </w:tcMar>
            <w:vAlign w:val="center"/>
          </w:tcPr>
          <w:p w14:paraId="552DC693" w14:textId="77777777" w:rsidR="007C5D29" w:rsidRDefault="00A9463A">
            <w:pPr>
              <w:keepNext/>
              <w:keepLines/>
              <w:spacing w:after="0" w:line="240" w:lineRule="auto"/>
              <w:jc w:val="right"/>
            </w:pPr>
            <w:r>
              <w:rPr>
                <w:sz w:val="18"/>
              </w:rPr>
              <w:t>158,5</w:t>
            </w:r>
          </w:p>
        </w:tc>
      </w:tr>
    </w:tbl>
    <w:p w14:paraId="092C9BDF" w14:textId="77777777" w:rsidR="007C5D29" w:rsidRDefault="007C5D29">
      <w:pPr>
        <w:spacing w:after="0"/>
      </w:pPr>
    </w:p>
    <w:p w14:paraId="0F648146" w14:textId="77777777" w:rsidR="007C5D29" w:rsidRDefault="00A9463A">
      <w:r>
        <w:t xml:space="preserve">Bilježi index od 158,5. Povećanje je u odnosu na 2024. godinu ponajviše radi povećanja službenih putovanja za projekt </w:t>
      </w:r>
      <w:proofErr w:type="spellStart"/>
      <w:r>
        <w:t>INACO</w:t>
      </w:r>
      <w:proofErr w:type="spellEnd"/>
      <w:r>
        <w:t xml:space="preserve"> </w:t>
      </w:r>
      <w:proofErr w:type="spellStart"/>
      <w:r>
        <w:t>Interreg</w:t>
      </w:r>
      <w:proofErr w:type="spellEnd"/>
      <w:r>
        <w:t xml:space="preserve"> Central Europe. U 2025. godini održana su tri sastanka projektnih timova, od čega dva u inozemstvu na kojem su prisustvoval</w:t>
      </w:r>
      <w:r>
        <w:t>i naši zaposlenici koji su članovi projektnog tima.</w:t>
      </w:r>
    </w:p>
    <w:p w14:paraId="1DC003F1" w14:textId="77777777" w:rsidR="007C5D29" w:rsidRDefault="00A9463A">
      <w:r>
        <w:t> </w:t>
      </w:r>
    </w:p>
    <w:p w14:paraId="6A640027" w14:textId="77777777" w:rsidR="007C5D29" w:rsidRDefault="007C5D29"/>
    <w:p w14:paraId="1966BC93" w14:textId="77777777" w:rsidR="007C5D29" w:rsidRDefault="00A9463A">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AEDA3B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5D162B"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F281D07"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EE723B"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A10F5C"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D712AA"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4F3E037" w14:textId="77777777" w:rsidR="007C5D29" w:rsidRDefault="00A9463A">
            <w:pPr>
              <w:keepNext/>
              <w:keepLines/>
              <w:spacing w:after="0" w:line="240" w:lineRule="auto"/>
              <w:jc w:val="center"/>
            </w:pPr>
            <w:r>
              <w:rPr>
                <w:b/>
                <w:sz w:val="18"/>
              </w:rPr>
              <w:t>Indeks (%)</w:t>
            </w:r>
          </w:p>
        </w:tc>
      </w:tr>
      <w:tr w:rsidR="007C5D29" w14:paraId="1F5B64BA" w14:textId="77777777">
        <w:tblPrEx>
          <w:tblCellMar>
            <w:top w:w="0" w:type="dxa"/>
            <w:bottom w:w="0" w:type="dxa"/>
          </w:tblCellMar>
        </w:tblPrEx>
        <w:trPr>
          <w:cantSplit/>
          <w:trHeight w:val="560"/>
        </w:trPr>
        <w:tc>
          <w:tcPr>
            <w:tcW w:w="700" w:type="dxa"/>
            <w:tcMar>
              <w:top w:w="0" w:type="dxa"/>
              <w:bottom w:w="0" w:type="dxa"/>
            </w:tcMar>
            <w:vAlign w:val="center"/>
          </w:tcPr>
          <w:p w14:paraId="19AEF941" w14:textId="77777777" w:rsidR="007C5D29" w:rsidRDefault="00A9463A">
            <w:pPr>
              <w:keepNext/>
              <w:keepLines/>
              <w:spacing w:after="0" w:line="240" w:lineRule="auto"/>
            </w:pPr>
            <w:r>
              <w:rPr>
                <w:sz w:val="18"/>
              </w:rPr>
              <w:t>3232</w:t>
            </w:r>
          </w:p>
        </w:tc>
        <w:tc>
          <w:tcPr>
            <w:tcW w:w="3180" w:type="dxa"/>
            <w:tcMar>
              <w:top w:w="0" w:type="dxa"/>
              <w:bottom w:w="0" w:type="dxa"/>
            </w:tcMar>
            <w:vAlign w:val="center"/>
          </w:tcPr>
          <w:p w14:paraId="689CEE8E" w14:textId="77777777" w:rsidR="007C5D29" w:rsidRDefault="00A9463A">
            <w:pPr>
              <w:keepNext/>
              <w:keepLines/>
              <w:spacing w:after="0" w:line="240" w:lineRule="auto"/>
            </w:pPr>
            <w:r>
              <w:rPr>
                <w:sz w:val="18"/>
              </w:rPr>
              <w:t xml:space="preserve">Usluge tekućeg i </w:t>
            </w:r>
            <w:r>
              <w:rPr>
                <w:sz w:val="18"/>
              </w:rPr>
              <w:t>investicijskog održavanja</w:t>
            </w:r>
          </w:p>
        </w:tc>
        <w:tc>
          <w:tcPr>
            <w:tcW w:w="700" w:type="dxa"/>
            <w:tcMar>
              <w:top w:w="0" w:type="dxa"/>
              <w:bottom w:w="0" w:type="dxa"/>
            </w:tcMar>
            <w:vAlign w:val="center"/>
          </w:tcPr>
          <w:p w14:paraId="6778A369" w14:textId="77777777" w:rsidR="007C5D29" w:rsidRDefault="00A9463A">
            <w:pPr>
              <w:keepNext/>
              <w:keepLines/>
              <w:spacing w:after="0" w:line="240" w:lineRule="auto"/>
            </w:pPr>
            <w:r>
              <w:rPr>
                <w:sz w:val="18"/>
              </w:rPr>
              <w:t>3232</w:t>
            </w:r>
          </w:p>
        </w:tc>
        <w:tc>
          <w:tcPr>
            <w:tcW w:w="1860" w:type="dxa"/>
            <w:tcMar>
              <w:top w:w="0" w:type="dxa"/>
              <w:bottom w:w="0" w:type="dxa"/>
            </w:tcMar>
            <w:vAlign w:val="center"/>
          </w:tcPr>
          <w:p w14:paraId="1A21ED94" w14:textId="77777777" w:rsidR="007C5D29" w:rsidRDefault="00A9463A">
            <w:pPr>
              <w:keepNext/>
              <w:keepLines/>
              <w:spacing w:after="0" w:line="240" w:lineRule="auto"/>
              <w:jc w:val="right"/>
            </w:pPr>
            <w:r>
              <w:rPr>
                <w:sz w:val="18"/>
              </w:rPr>
              <w:t>8.161,24</w:t>
            </w:r>
          </w:p>
        </w:tc>
        <w:tc>
          <w:tcPr>
            <w:tcW w:w="1860" w:type="dxa"/>
            <w:tcMar>
              <w:top w:w="0" w:type="dxa"/>
              <w:bottom w:w="0" w:type="dxa"/>
            </w:tcMar>
            <w:vAlign w:val="center"/>
          </w:tcPr>
          <w:p w14:paraId="22A418F7" w14:textId="77777777" w:rsidR="007C5D29" w:rsidRDefault="00A9463A">
            <w:pPr>
              <w:keepNext/>
              <w:keepLines/>
              <w:spacing w:after="0" w:line="240" w:lineRule="auto"/>
              <w:jc w:val="right"/>
            </w:pPr>
            <w:r>
              <w:rPr>
                <w:sz w:val="18"/>
              </w:rPr>
              <w:t>13.631,73</w:t>
            </w:r>
          </w:p>
        </w:tc>
        <w:tc>
          <w:tcPr>
            <w:tcW w:w="700" w:type="dxa"/>
            <w:tcMar>
              <w:top w:w="0" w:type="dxa"/>
              <w:bottom w:w="0" w:type="dxa"/>
            </w:tcMar>
            <w:vAlign w:val="center"/>
          </w:tcPr>
          <w:p w14:paraId="0C5E792D" w14:textId="77777777" w:rsidR="007C5D29" w:rsidRDefault="00A9463A">
            <w:pPr>
              <w:keepNext/>
              <w:keepLines/>
              <w:spacing w:after="0" w:line="240" w:lineRule="auto"/>
              <w:jc w:val="right"/>
            </w:pPr>
            <w:r>
              <w:rPr>
                <w:sz w:val="18"/>
              </w:rPr>
              <w:t>167,0</w:t>
            </w:r>
          </w:p>
        </w:tc>
      </w:tr>
    </w:tbl>
    <w:p w14:paraId="103401F3" w14:textId="77777777" w:rsidR="007C5D29" w:rsidRDefault="007C5D29">
      <w:pPr>
        <w:spacing w:after="0"/>
      </w:pPr>
    </w:p>
    <w:p w14:paraId="363B7A9B" w14:textId="77777777" w:rsidR="007C5D29" w:rsidRDefault="00A9463A">
      <w:r>
        <w:t xml:space="preserve">Bilježe index od 167,0. U odnosu na 2024. godinu povećani su uglavnom zbog kvara na jednoj boci za automatsko gašenje požara plinom </w:t>
      </w:r>
      <w:proofErr w:type="spellStart"/>
      <w:r>
        <w:t>CO2</w:t>
      </w:r>
      <w:proofErr w:type="spellEnd"/>
      <w:r>
        <w:t xml:space="preserve"> koju je bilo potrebno servisirati. Zbog oštećenja krovnog prozora u prostoriji arhiva, stari je uklonjen te je nabavljen</w:t>
      </w:r>
      <w:r>
        <w:t xml:space="preserve"> i postavljen novi krovni prozor.</w:t>
      </w:r>
    </w:p>
    <w:p w14:paraId="22DB500C" w14:textId="77777777" w:rsidR="007C5D29" w:rsidRDefault="007C5D29"/>
    <w:p w14:paraId="529A97A0" w14:textId="77777777" w:rsidR="007C5D29" w:rsidRDefault="00A9463A">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25F43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B7C8F8"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8A57E87"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3CFDF"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7A54C8"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B137464"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4650436" w14:textId="77777777" w:rsidR="007C5D29" w:rsidRDefault="00A9463A">
            <w:pPr>
              <w:keepNext/>
              <w:keepLines/>
              <w:spacing w:after="0" w:line="240" w:lineRule="auto"/>
              <w:jc w:val="center"/>
            </w:pPr>
            <w:r>
              <w:rPr>
                <w:b/>
                <w:sz w:val="18"/>
              </w:rPr>
              <w:t>Indeks (%)</w:t>
            </w:r>
          </w:p>
        </w:tc>
      </w:tr>
      <w:tr w:rsidR="007C5D29" w14:paraId="5615F0A8" w14:textId="77777777">
        <w:tblPrEx>
          <w:tblCellMar>
            <w:top w:w="0" w:type="dxa"/>
            <w:bottom w:w="0" w:type="dxa"/>
          </w:tblCellMar>
        </w:tblPrEx>
        <w:trPr>
          <w:cantSplit/>
          <w:trHeight w:val="560"/>
        </w:trPr>
        <w:tc>
          <w:tcPr>
            <w:tcW w:w="700" w:type="dxa"/>
            <w:tcMar>
              <w:top w:w="0" w:type="dxa"/>
              <w:bottom w:w="0" w:type="dxa"/>
            </w:tcMar>
            <w:vAlign w:val="center"/>
          </w:tcPr>
          <w:p w14:paraId="1BBF24FD" w14:textId="77777777" w:rsidR="007C5D29" w:rsidRDefault="00A9463A">
            <w:pPr>
              <w:keepNext/>
              <w:keepLines/>
              <w:spacing w:after="0" w:line="240" w:lineRule="auto"/>
            </w:pPr>
            <w:r>
              <w:rPr>
                <w:sz w:val="18"/>
              </w:rPr>
              <w:t>3233</w:t>
            </w:r>
          </w:p>
        </w:tc>
        <w:tc>
          <w:tcPr>
            <w:tcW w:w="3180" w:type="dxa"/>
            <w:tcMar>
              <w:top w:w="0" w:type="dxa"/>
              <w:bottom w:w="0" w:type="dxa"/>
            </w:tcMar>
            <w:vAlign w:val="center"/>
          </w:tcPr>
          <w:p w14:paraId="0EFAB19E" w14:textId="77777777" w:rsidR="007C5D29" w:rsidRDefault="00A9463A">
            <w:pPr>
              <w:keepNext/>
              <w:keepLines/>
              <w:spacing w:after="0" w:line="240" w:lineRule="auto"/>
            </w:pPr>
            <w:r>
              <w:rPr>
                <w:sz w:val="18"/>
              </w:rPr>
              <w:t>Usluge promidžbe i informiranja</w:t>
            </w:r>
          </w:p>
        </w:tc>
        <w:tc>
          <w:tcPr>
            <w:tcW w:w="700" w:type="dxa"/>
            <w:tcMar>
              <w:top w:w="0" w:type="dxa"/>
              <w:bottom w:w="0" w:type="dxa"/>
            </w:tcMar>
            <w:vAlign w:val="center"/>
          </w:tcPr>
          <w:p w14:paraId="427CAB40" w14:textId="77777777" w:rsidR="007C5D29" w:rsidRDefault="00A9463A">
            <w:pPr>
              <w:keepNext/>
              <w:keepLines/>
              <w:spacing w:after="0" w:line="240" w:lineRule="auto"/>
            </w:pPr>
            <w:r>
              <w:rPr>
                <w:sz w:val="18"/>
              </w:rPr>
              <w:t>3233</w:t>
            </w:r>
          </w:p>
        </w:tc>
        <w:tc>
          <w:tcPr>
            <w:tcW w:w="1860" w:type="dxa"/>
            <w:tcMar>
              <w:top w:w="0" w:type="dxa"/>
              <w:bottom w:w="0" w:type="dxa"/>
            </w:tcMar>
            <w:vAlign w:val="center"/>
          </w:tcPr>
          <w:p w14:paraId="43C2A093" w14:textId="77777777" w:rsidR="007C5D29" w:rsidRDefault="00A9463A">
            <w:pPr>
              <w:keepNext/>
              <w:keepLines/>
              <w:spacing w:after="0" w:line="240" w:lineRule="auto"/>
              <w:jc w:val="right"/>
            </w:pPr>
            <w:r>
              <w:rPr>
                <w:sz w:val="18"/>
              </w:rPr>
              <w:t>2.488,50</w:t>
            </w:r>
          </w:p>
        </w:tc>
        <w:tc>
          <w:tcPr>
            <w:tcW w:w="1860" w:type="dxa"/>
            <w:tcMar>
              <w:top w:w="0" w:type="dxa"/>
              <w:bottom w:w="0" w:type="dxa"/>
            </w:tcMar>
            <w:vAlign w:val="center"/>
          </w:tcPr>
          <w:p w14:paraId="1C96F794" w14:textId="77777777" w:rsidR="007C5D29" w:rsidRDefault="00A9463A">
            <w:pPr>
              <w:keepNext/>
              <w:keepLines/>
              <w:spacing w:after="0" w:line="240" w:lineRule="auto"/>
              <w:jc w:val="right"/>
            </w:pPr>
            <w:r>
              <w:rPr>
                <w:sz w:val="18"/>
              </w:rPr>
              <w:t>4.709,67</w:t>
            </w:r>
          </w:p>
        </w:tc>
        <w:tc>
          <w:tcPr>
            <w:tcW w:w="700" w:type="dxa"/>
            <w:tcMar>
              <w:top w:w="0" w:type="dxa"/>
              <w:bottom w:w="0" w:type="dxa"/>
            </w:tcMar>
            <w:vAlign w:val="center"/>
          </w:tcPr>
          <w:p w14:paraId="66A4A9E0" w14:textId="77777777" w:rsidR="007C5D29" w:rsidRDefault="00A9463A">
            <w:pPr>
              <w:keepNext/>
              <w:keepLines/>
              <w:spacing w:after="0" w:line="240" w:lineRule="auto"/>
              <w:jc w:val="right"/>
            </w:pPr>
            <w:r>
              <w:rPr>
                <w:sz w:val="18"/>
              </w:rPr>
              <w:t>189,3</w:t>
            </w:r>
          </w:p>
        </w:tc>
      </w:tr>
    </w:tbl>
    <w:p w14:paraId="22BE47A8" w14:textId="77777777" w:rsidR="007C5D29" w:rsidRDefault="007C5D29">
      <w:pPr>
        <w:spacing w:after="0"/>
      </w:pPr>
    </w:p>
    <w:p w14:paraId="78CFBDB6" w14:textId="77777777" w:rsidR="007C5D29" w:rsidRDefault="00A9463A">
      <w:r>
        <w:t xml:space="preserve">Bilježi index od 189,3. Povećanje u odnosu na 2024. godinu odnosi se na  rashode za troškove promidžbe kulturne baštine Dubrovnika u dokumentarnom filmu </w:t>
      </w:r>
      <w:proofErr w:type="spellStart"/>
      <w:r>
        <w:t>Treasures</w:t>
      </w:r>
      <w:proofErr w:type="spellEnd"/>
      <w:r>
        <w:t xml:space="preserve"> </w:t>
      </w:r>
      <w:proofErr w:type="spellStart"/>
      <w:r>
        <w:t>of</w:t>
      </w:r>
      <w:proofErr w:type="spellEnd"/>
      <w:r>
        <w:t xml:space="preserve"> Croatia autorice </w:t>
      </w:r>
      <w:proofErr w:type="spellStart"/>
      <w:r>
        <w:t>Bettany</w:t>
      </w:r>
      <w:proofErr w:type="spellEnd"/>
      <w:r>
        <w:t xml:space="preserve"> Hughes.</w:t>
      </w:r>
    </w:p>
    <w:p w14:paraId="54ADEC79" w14:textId="77777777" w:rsidR="007C5D29" w:rsidRDefault="007C5D29"/>
    <w:p w14:paraId="2F55B374" w14:textId="77777777" w:rsidR="007C5D29" w:rsidRDefault="00A9463A">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02307A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D22649"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137A63"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4B06D4"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151A4D8" w14:textId="77777777" w:rsidR="007C5D29" w:rsidRDefault="00A9463A">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14:paraId="742DC44A"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AD03236" w14:textId="77777777" w:rsidR="007C5D29" w:rsidRDefault="00A9463A">
            <w:pPr>
              <w:keepNext/>
              <w:keepLines/>
              <w:spacing w:after="0" w:line="240" w:lineRule="auto"/>
              <w:jc w:val="center"/>
            </w:pPr>
            <w:r>
              <w:rPr>
                <w:b/>
                <w:sz w:val="18"/>
              </w:rPr>
              <w:t>Indeks (%)</w:t>
            </w:r>
          </w:p>
        </w:tc>
      </w:tr>
      <w:tr w:rsidR="007C5D29" w14:paraId="01A0354F" w14:textId="77777777">
        <w:tblPrEx>
          <w:tblCellMar>
            <w:top w:w="0" w:type="dxa"/>
            <w:bottom w:w="0" w:type="dxa"/>
          </w:tblCellMar>
        </w:tblPrEx>
        <w:trPr>
          <w:cantSplit/>
          <w:trHeight w:val="560"/>
        </w:trPr>
        <w:tc>
          <w:tcPr>
            <w:tcW w:w="700" w:type="dxa"/>
            <w:tcMar>
              <w:top w:w="0" w:type="dxa"/>
              <w:bottom w:w="0" w:type="dxa"/>
            </w:tcMar>
            <w:vAlign w:val="center"/>
          </w:tcPr>
          <w:p w14:paraId="1AEA4B52" w14:textId="77777777" w:rsidR="007C5D29" w:rsidRDefault="00A9463A">
            <w:pPr>
              <w:keepNext/>
              <w:keepLines/>
              <w:spacing w:after="0" w:line="240" w:lineRule="auto"/>
            </w:pPr>
            <w:r>
              <w:rPr>
                <w:sz w:val="18"/>
              </w:rPr>
              <w:t>3236</w:t>
            </w:r>
          </w:p>
        </w:tc>
        <w:tc>
          <w:tcPr>
            <w:tcW w:w="3180" w:type="dxa"/>
            <w:tcMar>
              <w:top w:w="0" w:type="dxa"/>
              <w:bottom w:w="0" w:type="dxa"/>
            </w:tcMar>
            <w:vAlign w:val="center"/>
          </w:tcPr>
          <w:p w14:paraId="2958499B" w14:textId="77777777" w:rsidR="007C5D29" w:rsidRDefault="00A9463A">
            <w:pPr>
              <w:keepNext/>
              <w:keepLines/>
              <w:spacing w:after="0" w:line="240" w:lineRule="auto"/>
            </w:pPr>
            <w:r>
              <w:rPr>
                <w:sz w:val="18"/>
              </w:rPr>
              <w:t>Zdravstvene i veterinarske usluge</w:t>
            </w:r>
          </w:p>
        </w:tc>
        <w:tc>
          <w:tcPr>
            <w:tcW w:w="700" w:type="dxa"/>
            <w:tcMar>
              <w:top w:w="0" w:type="dxa"/>
              <w:bottom w:w="0" w:type="dxa"/>
            </w:tcMar>
            <w:vAlign w:val="center"/>
          </w:tcPr>
          <w:p w14:paraId="3B0C775B" w14:textId="77777777" w:rsidR="007C5D29" w:rsidRDefault="00A9463A">
            <w:pPr>
              <w:keepNext/>
              <w:keepLines/>
              <w:spacing w:after="0" w:line="240" w:lineRule="auto"/>
            </w:pPr>
            <w:r>
              <w:rPr>
                <w:sz w:val="18"/>
              </w:rPr>
              <w:t>3236</w:t>
            </w:r>
          </w:p>
        </w:tc>
        <w:tc>
          <w:tcPr>
            <w:tcW w:w="1860" w:type="dxa"/>
            <w:tcMar>
              <w:top w:w="0" w:type="dxa"/>
              <w:bottom w:w="0" w:type="dxa"/>
            </w:tcMar>
            <w:vAlign w:val="center"/>
          </w:tcPr>
          <w:p w14:paraId="684BB2CD"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3B174D05" w14:textId="77777777" w:rsidR="007C5D29" w:rsidRDefault="00A9463A">
            <w:pPr>
              <w:keepNext/>
              <w:keepLines/>
              <w:spacing w:after="0" w:line="240" w:lineRule="auto"/>
              <w:jc w:val="right"/>
            </w:pPr>
            <w:r>
              <w:rPr>
                <w:sz w:val="18"/>
              </w:rPr>
              <w:t>2.263,55</w:t>
            </w:r>
          </w:p>
        </w:tc>
        <w:tc>
          <w:tcPr>
            <w:tcW w:w="700" w:type="dxa"/>
            <w:tcMar>
              <w:top w:w="0" w:type="dxa"/>
              <w:bottom w:w="0" w:type="dxa"/>
            </w:tcMar>
            <w:vAlign w:val="center"/>
          </w:tcPr>
          <w:p w14:paraId="07F29DE6" w14:textId="77777777" w:rsidR="007C5D29" w:rsidRDefault="00A9463A">
            <w:pPr>
              <w:keepNext/>
              <w:keepLines/>
              <w:spacing w:after="0" w:line="240" w:lineRule="auto"/>
              <w:jc w:val="right"/>
            </w:pPr>
            <w:r>
              <w:rPr>
                <w:sz w:val="18"/>
              </w:rPr>
              <w:t>-</w:t>
            </w:r>
          </w:p>
        </w:tc>
      </w:tr>
    </w:tbl>
    <w:p w14:paraId="7A29C660" w14:textId="77777777" w:rsidR="007C5D29" w:rsidRDefault="007C5D29">
      <w:pPr>
        <w:spacing w:after="0"/>
      </w:pPr>
    </w:p>
    <w:p w14:paraId="2FAC574D" w14:textId="77777777" w:rsidR="007C5D29" w:rsidRDefault="00A9463A">
      <w:r>
        <w:t>U 2025. godini obavljeni su sistematski pregledi zaposlenika koje Zavod provodi svako dvije godine.</w:t>
      </w:r>
    </w:p>
    <w:p w14:paraId="019DDEBF" w14:textId="77777777" w:rsidR="007C5D29" w:rsidRDefault="007C5D29"/>
    <w:p w14:paraId="2076FA97" w14:textId="77777777" w:rsidR="007C5D29" w:rsidRDefault="00A9463A">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35BCC1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F7824FD"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F2FAA62"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2A830BB"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9623DD3"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8EABF93"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C44CA1" w14:textId="77777777" w:rsidR="007C5D29" w:rsidRDefault="00A9463A">
            <w:pPr>
              <w:keepNext/>
              <w:keepLines/>
              <w:spacing w:after="0" w:line="240" w:lineRule="auto"/>
              <w:jc w:val="center"/>
            </w:pPr>
            <w:r>
              <w:rPr>
                <w:b/>
                <w:sz w:val="18"/>
              </w:rPr>
              <w:t>Ind</w:t>
            </w:r>
            <w:r>
              <w:rPr>
                <w:b/>
                <w:sz w:val="18"/>
              </w:rPr>
              <w:t>eks (%)</w:t>
            </w:r>
          </w:p>
        </w:tc>
      </w:tr>
      <w:tr w:rsidR="007C5D29" w14:paraId="50B65949" w14:textId="77777777">
        <w:tblPrEx>
          <w:tblCellMar>
            <w:top w:w="0" w:type="dxa"/>
            <w:bottom w:w="0" w:type="dxa"/>
          </w:tblCellMar>
        </w:tblPrEx>
        <w:trPr>
          <w:cantSplit/>
          <w:trHeight w:val="560"/>
        </w:trPr>
        <w:tc>
          <w:tcPr>
            <w:tcW w:w="700" w:type="dxa"/>
            <w:tcMar>
              <w:top w:w="0" w:type="dxa"/>
              <w:bottom w:w="0" w:type="dxa"/>
            </w:tcMar>
            <w:vAlign w:val="center"/>
          </w:tcPr>
          <w:p w14:paraId="25603B76" w14:textId="77777777" w:rsidR="007C5D29" w:rsidRDefault="00A9463A">
            <w:pPr>
              <w:keepNext/>
              <w:keepLines/>
              <w:spacing w:after="0" w:line="240" w:lineRule="auto"/>
            </w:pPr>
            <w:r>
              <w:rPr>
                <w:sz w:val="18"/>
              </w:rPr>
              <w:t>3237</w:t>
            </w:r>
          </w:p>
        </w:tc>
        <w:tc>
          <w:tcPr>
            <w:tcW w:w="3180" w:type="dxa"/>
            <w:tcMar>
              <w:top w:w="0" w:type="dxa"/>
              <w:bottom w:w="0" w:type="dxa"/>
            </w:tcMar>
            <w:vAlign w:val="center"/>
          </w:tcPr>
          <w:p w14:paraId="77D5D742" w14:textId="77777777" w:rsidR="007C5D29" w:rsidRDefault="00A9463A">
            <w:pPr>
              <w:keepNext/>
              <w:keepLines/>
              <w:spacing w:after="0" w:line="240" w:lineRule="auto"/>
            </w:pPr>
            <w:r>
              <w:rPr>
                <w:sz w:val="18"/>
              </w:rPr>
              <w:t>Intelektualne i osobne usluge</w:t>
            </w:r>
          </w:p>
        </w:tc>
        <w:tc>
          <w:tcPr>
            <w:tcW w:w="700" w:type="dxa"/>
            <w:tcMar>
              <w:top w:w="0" w:type="dxa"/>
              <w:bottom w:w="0" w:type="dxa"/>
            </w:tcMar>
            <w:vAlign w:val="center"/>
          </w:tcPr>
          <w:p w14:paraId="61B0046C" w14:textId="77777777" w:rsidR="007C5D29" w:rsidRDefault="00A9463A">
            <w:pPr>
              <w:keepNext/>
              <w:keepLines/>
              <w:spacing w:after="0" w:line="240" w:lineRule="auto"/>
            </w:pPr>
            <w:r>
              <w:rPr>
                <w:sz w:val="18"/>
              </w:rPr>
              <w:t>3237</w:t>
            </w:r>
          </w:p>
        </w:tc>
        <w:tc>
          <w:tcPr>
            <w:tcW w:w="1860" w:type="dxa"/>
            <w:tcMar>
              <w:top w:w="0" w:type="dxa"/>
              <w:bottom w:w="0" w:type="dxa"/>
            </w:tcMar>
            <w:vAlign w:val="center"/>
          </w:tcPr>
          <w:p w14:paraId="38A69068" w14:textId="77777777" w:rsidR="007C5D29" w:rsidRDefault="00A9463A">
            <w:pPr>
              <w:keepNext/>
              <w:keepLines/>
              <w:spacing w:after="0" w:line="240" w:lineRule="auto"/>
              <w:jc w:val="right"/>
            </w:pPr>
            <w:r>
              <w:rPr>
                <w:sz w:val="18"/>
              </w:rPr>
              <w:t>35.569,81</w:t>
            </w:r>
          </w:p>
        </w:tc>
        <w:tc>
          <w:tcPr>
            <w:tcW w:w="1860" w:type="dxa"/>
            <w:tcMar>
              <w:top w:w="0" w:type="dxa"/>
              <w:bottom w:w="0" w:type="dxa"/>
            </w:tcMar>
            <w:vAlign w:val="center"/>
          </w:tcPr>
          <w:p w14:paraId="68FEB235" w14:textId="77777777" w:rsidR="007C5D29" w:rsidRDefault="00A9463A">
            <w:pPr>
              <w:keepNext/>
              <w:keepLines/>
              <w:spacing w:after="0" w:line="240" w:lineRule="auto"/>
              <w:jc w:val="right"/>
            </w:pPr>
            <w:r>
              <w:rPr>
                <w:sz w:val="18"/>
              </w:rPr>
              <w:t>33.970,00</w:t>
            </w:r>
          </w:p>
        </w:tc>
        <w:tc>
          <w:tcPr>
            <w:tcW w:w="700" w:type="dxa"/>
            <w:tcMar>
              <w:top w:w="0" w:type="dxa"/>
              <w:bottom w:w="0" w:type="dxa"/>
            </w:tcMar>
            <w:vAlign w:val="center"/>
          </w:tcPr>
          <w:p w14:paraId="0E077F96" w14:textId="77777777" w:rsidR="007C5D29" w:rsidRDefault="00A9463A">
            <w:pPr>
              <w:keepNext/>
              <w:keepLines/>
              <w:spacing w:after="0" w:line="240" w:lineRule="auto"/>
              <w:jc w:val="right"/>
            </w:pPr>
            <w:r>
              <w:rPr>
                <w:sz w:val="18"/>
              </w:rPr>
              <w:t>95,5</w:t>
            </w:r>
          </w:p>
        </w:tc>
      </w:tr>
    </w:tbl>
    <w:p w14:paraId="7E8C1D68" w14:textId="77777777" w:rsidR="007C5D29" w:rsidRDefault="007C5D29">
      <w:pPr>
        <w:spacing w:after="0"/>
      </w:pPr>
    </w:p>
    <w:p w14:paraId="60512174" w14:textId="77777777" w:rsidR="007C5D29" w:rsidRDefault="00A9463A">
      <w:r>
        <w:t xml:space="preserve">Bilježe index od 95,5. Odnosi se na rashode za Plan Upravljanja, troškove odvjetnika za pokretanje tužbi vezano za povrate uloženih sredstava, usluge izrade procjembenog elaborata za zgradu na adresi Cvijete </w:t>
      </w:r>
      <w:proofErr w:type="spellStart"/>
      <w:r>
        <w:t>Zuzorić</w:t>
      </w:r>
      <w:proofErr w:type="spellEnd"/>
      <w:r>
        <w:t xml:space="preserve"> 6, te izrada projekta unutarnjeg uređenj</w:t>
      </w:r>
      <w:r>
        <w:t>a sale za sastanke Zavoda.</w:t>
      </w:r>
    </w:p>
    <w:p w14:paraId="237D56F4" w14:textId="77777777" w:rsidR="007C5D29" w:rsidRDefault="007C5D29"/>
    <w:p w14:paraId="1A7D9321" w14:textId="77777777" w:rsidR="007C5D29" w:rsidRDefault="00A9463A">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9D6453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820D36"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41C19C"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AD5436"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38493F4"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02CC6B0"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CF3FFA" w14:textId="77777777" w:rsidR="007C5D29" w:rsidRDefault="00A9463A">
            <w:pPr>
              <w:keepNext/>
              <w:keepLines/>
              <w:spacing w:after="0" w:line="240" w:lineRule="auto"/>
              <w:jc w:val="center"/>
            </w:pPr>
            <w:r>
              <w:rPr>
                <w:b/>
                <w:sz w:val="18"/>
              </w:rPr>
              <w:t>Indeks (%)</w:t>
            </w:r>
          </w:p>
        </w:tc>
      </w:tr>
      <w:tr w:rsidR="007C5D29" w14:paraId="4AE878A5" w14:textId="77777777">
        <w:tblPrEx>
          <w:tblCellMar>
            <w:top w:w="0" w:type="dxa"/>
            <w:bottom w:w="0" w:type="dxa"/>
          </w:tblCellMar>
        </w:tblPrEx>
        <w:trPr>
          <w:cantSplit/>
          <w:trHeight w:val="560"/>
        </w:trPr>
        <w:tc>
          <w:tcPr>
            <w:tcW w:w="700" w:type="dxa"/>
            <w:tcMar>
              <w:top w:w="0" w:type="dxa"/>
              <w:bottom w:w="0" w:type="dxa"/>
            </w:tcMar>
            <w:vAlign w:val="center"/>
          </w:tcPr>
          <w:p w14:paraId="7C294DCD" w14:textId="77777777" w:rsidR="007C5D29" w:rsidRDefault="00A9463A">
            <w:pPr>
              <w:keepNext/>
              <w:keepLines/>
              <w:spacing w:after="0" w:line="240" w:lineRule="auto"/>
            </w:pPr>
            <w:r>
              <w:rPr>
                <w:sz w:val="18"/>
              </w:rPr>
              <w:t>3293</w:t>
            </w:r>
          </w:p>
        </w:tc>
        <w:tc>
          <w:tcPr>
            <w:tcW w:w="3180" w:type="dxa"/>
            <w:tcMar>
              <w:top w:w="0" w:type="dxa"/>
              <w:bottom w:w="0" w:type="dxa"/>
            </w:tcMar>
            <w:vAlign w:val="center"/>
          </w:tcPr>
          <w:p w14:paraId="579AABFB" w14:textId="77777777" w:rsidR="007C5D29" w:rsidRDefault="00A9463A">
            <w:pPr>
              <w:keepNext/>
              <w:keepLines/>
              <w:spacing w:after="0" w:line="240" w:lineRule="auto"/>
            </w:pPr>
            <w:r>
              <w:rPr>
                <w:sz w:val="18"/>
              </w:rPr>
              <w:t>Reprezentacija</w:t>
            </w:r>
          </w:p>
        </w:tc>
        <w:tc>
          <w:tcPr>
            <w:tcW w:w="700" w:type="dxa"/>
            <w:tcMar>
              <w:top w:w="0" w:type="dxa"/>
              <w:bottom w:w="0" w:type="dxa"/>
            </w:tcMar>
            <w:vAlign w:val="center"/>
          </w:tcPr>
          <w:p w14:paraId="63C4956C" w14:textId="77777777" w:rsidR="007C5D29" w:rsidRDefault="00A9463A">
            <w:pPr>
              <w:keepNext/>
              <w:keepLines/>
              <w:spacing w:after="0" w:line="240" w:lineRule="auto"/>
            </w:pPr>
            <w:r>
              <w:rPr>
                <w:sz w:val="18"/>
              </w:rPr>
              <w:t>3293</w:t>
            </w:r>
          </w:p>
        </w:tc>
        <w:tc>
          <w:tcPr>
            <w:tcW w:w="1860" w:type="dxa"/>
            <w:tcMar>
              <w:top w:w="0" w:type="dxa"/>
              <w:bottom w:w="0" w:type="dxa"/>
            </w:tcMar>
            <w:vAlign w:val="center"/>
          </w:tcPr>
          <w:p w14:paraId="07A536E4" w14:textId="77777777" w:rsidR="007C5D29" w:rsidRDefault="00A9463A">
            <w:pPr>
              <w:keepNext/>
              <w:keepLines/>
              <w:spacing w:after="0" w:line="240" w:lineRule="auto"/>
              <w:jc w:val="right"/>
            </w:pPr>
            <w:r>
              <w:rPr>
                <w:sz w:val="18"/>
              </w:rPr>
              <w:t>876,05</w:t>
            </w:r>
          </w:p>
        </w:tc>
        <w:tc>
          <w:tcPr>
            <w:tcW w:w="1860" w:type="dxa"/>
            <w:tcMar>
              <w:top w:w="0" w:type="dxa"/>
              <w:bottom w:w="0" w:type="dxa"/>
            </w:tcMar>
            <w:vAlign w:val="center"/>
          </w:tcPr>
          <w:p w14:paraId="68377675" w14:textId="77777777" w:rsidR="007C5D29" w:rsidRDefault="00A9463A">
            <w:pPr>
              <w:keepNext/>
              <w:keepLines/>
              <w:spacing w:after="0" w:line="240" w:lineRule="auto"/>
              <w:jc w:val="right"/>
            </w:pPr>
            <w:r>
              <w:rPr>
                <w:sz w:val="18"/>
              </w:rPr>
              <w:t>5.593,61</w:t>
            </w:r>
          </w:p>
        </w:tc>
        <w:tc>
          <w:tcPr>
            <w:tcW w:w="700" w:type="dxa"/>
            <w:tcMar>
              <w:top w:w="0" w:type="dxa"/>
              <w:bottom w:w="0" w:type="dxa"/>
            </w:tcMar>
            <w:vAlign w:val="center"/>
          </w:tcPr>
          <w:p w14:paraId="32C85819" w14:textId="77777777" w:rsidR="007C5D29" w:rsidRDefault="00A9463A">
            <w:pPr>
              <w:keepNext/>
              <w:keepLines/>
              <w:spacing w:after="0" w:line="240" w:lineRule="auto"/>
              <w:jc w:val="right"/>
            </w:pPr>
            <w:r>
              <w:rPr>
                <w:sz w:val="18"/>
              </w:rPr>
              <w:t>638,5</w:t>
            </w:r>
          </w:p>
        </w:tc>
      </w:tr>
    </w:tbl>
    <w:p w14:paraId="5369294F" w14:textId="77777777" w:rsidR="007C5D29" w:rsidRDefault="007C5D29">
      <w:pPr>
        <w:spacing w:after="0"/>
      </w:pPr>
    </w:p>
    <w:p w14:paraId="04628D9A" w14:textId="77777777" w:rsidR="007C5D29" w:rsidRDefault="00A9463A">
      <w:r>
        <w:t xml:space="preserve">Bilježi index od 638,5. Povećanje je u odnosu na 2024. godinu radi održavanja 3. sastanka projektnih partnera na </w:t>
      </w:r>
      <w:proofErr w:type="spellStart"/>
      <w:r>
        <w:t>INACO</w:t>
      </w:r>
      <w:proofErr w:type="spellEnd"/>
      <w:r>
        <w:t xml:space="preserve"> projektu u Dubrovniku gdje je Zavod bio domaćin.</w:t>
      </w:r>
    </w:p>
    <w:p w14:paraId="53DEEE83" w14:textId="77777777" w:rsidR="007C5D29" w:rsidRDefault="007C5D29"/>
    <w:p w14:paraId="2A70FFD1" w14:textId="77777777" w:rsidR="007C5D29" w:rsidRDefault="00A9463A">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50769E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12C1CD"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A1BD41"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E609AF"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0E3259" w14:textId="77777777" w:rsidR="007C5D29" w:rsidRDefault="00A9463A">
            <w:pPr>
              <w:keepNext/>
              <w:keepLines/>
              <w:spacing w:after="0" w:line="240" w:lineRule="auto"/>
              <w:jc w:val="center"/>
            </w:pPr>
            <w:r>
              <w:rPr>
                <w:b/>
                <w:sz w:val="18"/>
              </w:rPr>
              <w:t>Ostvareno u izvještajnom razdoblju p</w:t>
            </w:r>
            <w:r>
              <w:rPr>
                <w:b/>
                <w:sz w:val="18"/>
              </w:rPr>
              <w:t>rethodne godine</w:t>
            </w:r>
          </w:p>
        </w:tc>
        <w:tc>
          <w:tcPr>
            <w:tcW w:w="1860" w:type="dxa"/>
            <w:shd w:val="clear" w:color="auto" w:fill="E7F0F9"/>
            <w:tcMar>
              <w:top w:w="0" w:type="dxa"/>
              <w:bottom w:w="0" w:type="dxa"/>
            </w:tcMar>
            <w:vAlign w:val="center"/>
          </w:tcPr>
          <w:p w14:paraId="6CAE6DE0"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BA19A4" w14:textId="77777777" w:rsidR="007C5D29" w:rsidRDefault="00A9463A">
            <w:pPr>
              <w:keepNext/>
              <w:keepLines/>
              <w:spacing w:after="0" w:line="240" w:lineRule="auto"/>
              <w:jc w:val="center"/>
            </w:pPr>
            <w:r>
              <w:rPr>
                <w:b/>
                <w:sz w:val="18"/>
              </w:rPr>
              <w:t>Indeks (%)</w:t>
            </w:r>
          </w:p>
        </w:tc>
      </w:tr>
      <w:tr w:rsidR="007C5D29" w14:paraId="2EA1FA46" w14:textId="77777777">
        <w:tblPrEx>
          <w:tblCellMar>
            <w:top w:w="0" w:type="dxa"/>
            <w:bottom w:w="0" w:type="dxa"/>
          </w:tblCellMar>
        </w:tblPrEx>
        <w:trPr>
          <w:cantSplit/>
          <w:trHeight w:val="560"/>
        </w:trPr>
        <w:tc>
          <w:tcPr>
            <w:tcW w:w="700" w:type="dxa"/>
            <w:tcMar>
              <w:top w:w="0" w:type="dxa"/>
              <w:bottom w:w="0" w:type="dxa"/>
            </w:tcMar>
            <w:vAlign w:val="center"/>
          </w:tcPr>
          <w:p w14:paraId="71B4A3BB" w14:textId="77777777" w:rsidR="007C5D29" w:rsidRDefault="00A9463A">
            <w:pPr>
              <w:keepNext/>
              <w:keepLines/>
              <w:spacing w:after="0" w:line="240" w:lineRule="auto"/>
            </w:pPr>
            <w:r>
              <w:rPr>
                <w:sz w:val="18"/>
              </w:rPr>
              <w:t>3296</w:t>
            </w:r>
          </w:p>
        </w:tc>
        <w:tc>
          <w:tcPr>
            <w:tcW w:w="3180" w:type="dxa"/>
            <w:tcMar>
              <w:top w:w="0" w:type="dxa"/>
              <w:bottom w:w="0" w:type="dxa"/>
            </w:tcMar>
            <w:vAlign w:val="center"/>
          </w:tcPr>
          <w:p w14:paraId="39FA2C6D" w14:textId="77777777" w:rsidR="007C5D29" w:rsidRDefault="00A9463A">
            <w:pPr>
              <w:keepNext/>
              <w:keepLines/>
              <w:spacing w:after="0" w:line="240" w:lineRule="auto"/>
            </w:pPr>
            <w:r>
              <w:rPr>
                <w:sz w:val="18"/>
              </w:rPr>
              <w:t>Troškovi sudskih postupaka</w:t>
            </w:r>
          </w:p>
        </w:tc>
        <w:tc>
          <w:tcPr>
            <w:tcW w:w="700" w:type="dxa"/>
            <w:tcMar>
              <w:top w:w="0" w:type="dxa"/>
              <w:bottom w:w="0" w:type="dxa"/>
            </w:tcMar>
            <w:vAlign w:val="center"/>
          </w:tcPr>
          <w:p w14:paraId="4D87363A" w14:textId="77777777" w:rsidR="007C5D29" w:rsidRDefault="00A9463A">
            <w:pPr>
              <w:keepNext/>
              <w:keepLines/>
              <w:spacing w:after="0" w:line="240" w:lineRule="auto"/>
            </w:pPr>
            <w:r>
              <w:rPr>
                <w:sz w:val="18"/>
              </w:rPr>
              <w:t>3296</w:t>
            </w:r>
          </w:p>
        </w:tc>
        <w:tc>
          <w:tcPr>
            <w:tcW w:w="1860" w:type="dxa"/>
            <w:tcMar>
              <w:top w:w="0" w:type="dxa"/>
              <w:bottom w:w="0" w:type="dxa"/>
            </w:tcMar>
            <w:vAlign w:val="center"/>
          </w:tcPr>
          <w:p w14:paraId="573826BC" w14:textId="77777777" w:rsidR="007C5D29" w:rsidRDefault="00A9463A">
            <w:pPr>
              <w:keepNext/>
              <w:keepLines/>
              <w:spacing w:after="0" w:line="240" w:lineRule="auto"/>
              <w:jc w:val="right"/>
            </w:pPr>
            <w:r>
              <w:rPr>
                <w:sz w:val="18"/>
              </w:rPr>
              <w:t>734,18</w:t>
            </w:r>
          </w:p>
        </w:tc>
        <w:tc>
          <w:tcPr>
            <w:tcW w:w="1860" w:type="dxa"/>
            <w:tcMar>
              <w:top w:w="0" w:type="dxa"/>
              <w:bottom w:w="0" w:type="dxa"/>
            </w:tcMar>
            <w:vAlign w:val="center"/>
          </w:tcPr>
          <w:p w14:paraId="2032E812" w14:textId="77777777" w:rsidR="007C5D29" w:rsidRDefault="00A9463A">
            <w:pPr>
              <w:keepNext/>
              <w:keepLines/>
              <w:spacing w:after="0" w:line="240" w:lineRule="auto"/>
              <w:jc w:val="right"/>
            </w:pPr>
            <w:r>
              <w:rPr>
                <w:sz w:val="18"/>
              </w:rPr>
              <w:t>4.074,86</w:t>
            </w:r>
          </w:p>
        </w:tc>
        <w:tc>
          <w:tcPr>
            <w:tcW w:w="700" w:type="dxa"/>
            <w:tcMar>
              <w:top w:w="0" w:type="dxa"/>
              <w:bottom w:w="0" w:type="dxa"/>
            </w:tcMar>
            <w:vAlign w:val="center"/>
          </w:tcPr>
          <w:p w14:paraId="5BFDB1FC" w14:textId="77777777" w:rsidR="007C5D29" w:rsidRDefault="00A9463A">
            <w:pPr>
              <w:keepNext/>
              <w:keepLines/>
              <w:spacing w:after="0" w:line="240" w:lineRule="auto"/>
              <w:jc w:val="right"/>
            </w:pPr>
            <w:r>
              <w:rPr>
                <w:sz w:val="18"/>
              </w:rPr>
              <w:t>555,0</w:t>
            </w:r>
          </w:p>
        </w:tc>
      </w:tr>
    </w:tbl>
    <w:p w14:paraId="170B0E39" w14:textId="77777777" w:rsidR="007C5D29" w:rsidRDefault="007C5D29">
      <w:pPr>
        <w:spacing w:after="0"/>
      </w:pPr>
    </w:p>
    <w:p w14:paraId="1E2D5C6D" w14:textId="77777777" w:rsidR="007C5D29" w:rsidRDefault="00A9463A">
      <w:r>
        <w:t>Bilježe index od 555,0. U 2025. godini plaćeni su sudski troškovi za 4 predmeta , dok je u 2024. plaćen sudski trošak za 1 predmet.</w:t>
      </w:r>
    </w:p>
    <w:p w14:paraId="4D3F9285" w14:textId="77777777" w:rsidR="007C5D29" w:rsidRDefault="007C5D29"/>
    <w:p w14:paraId="1AE4D8C0" w14:textId="77777777" w:rsidR="007C5D29" w:rsidRDefault="00A9463A">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74F333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5C0ED2"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EB17CA8"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A082839"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C01D4"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DEE3CE" w14:textId="77777777" w:rsidR="007C5D29" w:rsidRDefault="00A9463A">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14:paraId="14D61BBF" w14:textId="77777777" w:rsidR="007C5D29" w:rsidRDefault="00A9463A">
            <w:pPr>
              <w:keepNext/>
              <w:keepLines/>
              <w:spacing w:after="0" w:line="240" w:lineRule="auto"/>
              <w:jc w:val="center"/>
            </w:pPr>
            <w:r>
              <w:rPr>
                <w:b/>
                <w:sz w:val="18"/>
              </w:rPr>
              <w:t>Indeks (%)</w:t>
            </w:r>
          </w:p>
        </w:tc>
      </w:tr>
      <w:tr w:rsidR="007C5D29" w14:paraId="2D467EBF" w14:textId="77777777">
        <w:tblPrEx>
          <w:tblCellMar>
            <w:top w:w="0" w:type="dxa"/>
            <w:bottom w:w="0" w:type="dxa"/>
          </w:tblCellMar>
        </w:tblPrEx>
        <w:trPr>
          <w:cantSplit/>
          <w:trHeight w:val="560"/>
        </w:trPr>
        <w:tc>
          <w:tcPr>
            <w:tcW w:w="700" w:type="dxa"/>
            <w:tcMar>
              <w:top w:w="0" w:type="dxa"/>
              <w:bottom w:w="0" w:type="dxa"/>
            </w:tcMar>
            <w:vAlign w:val="center"/>
          </w:tcPr>
          <w:p w14:paraId="311BADCA" w14:textId="77777777" w:rsidR="007C5D29" w:rsidRDefault="007C5D29">
            <w:pPr>
              <w:keepNext/>
              <w:keepLines/>
              <w:spacing w:after="0" w:line="240" w:lineRule="auto"/>
            </w:pPr>
          </w:p>
        </w:tc>
        <w:tc>
          <w:tcPr>
            <w:tcW w:w="3180" w:type="dxa"/>
            <w:tcMar>
              <w:top w:w="0" w:type="dxa"/>
              <w:bottom w:w="0" w:type="dxa"/>
            </w:tcMar>
            <w:vAlign w:val="center"/>
          </w:tcPr>
          <w:p w14:paraId="0DE6FC1F" w14:textId="77777777" w:rsidR="007C5D29" w:rsidRDefault="00A9463A">
            <w:pPr>
              <w:keepNext/>
              <w:keepLines/>
              <w:spacing w:after="0" w:line="240" w:lineRule="auto"/>
            </w:pPr>
            <w:r>
              <w:rPr>
                <w:sz w:val="18"/>
              </w:rPr>
              <w:t>VIŠAK PRIHODA POSLOVANJA (šifre 6-</w:t>
            </w:r>
            <w:proofErr w:type="spellStart"/>
            <w:r>
              <w:rPr>
                <w:sz w:val="18"/>
              </w:rPr>
              <w:t>Z005</w:t>
            </w:r>
            <w:proofErr w:type="spellEnd"/>
            <w:r>
              <w:rPr>
                <w:sz w:val="18"/>
              </w:rPr>
              <w:t>)</w:t>
            </w:r>
          </w:p>
        </w:tc>
        <w:tc>
          <w:tcPr>
            <w:tcW w:w="700" w:type="dxa"/>
            <w:tcMar>
              <w:top w:w="0" w:type="dxa"/>
              <w:bottom w:w="0" w:type="dxa"/>
            </w:tcMar>
            <w:vAlign w:val="center"/>
          </w:tcPr>
          <w:p w14:paraId="7162EDA7" w14:textId="77777777" w:rsidR="007C5D29" w:rsidRDefault="00A9463A">
            <w:pPr>
              <w:keepNext/>
              <w:keepLines/>
              <w:spacing w:after="0" w:line="240" w:lineRule="auto"/>
            </w:pPr>
            <w:proofErr w:type="spellStart"/>
            <w:r>
              <w:rPr>
                <w:sz w:val="18"/>
              </w:rPr>
              <w:t>X001</w:t>
            </w:r>
            <w:proofErr w:type="spellEnd"/>
          </w:p>
        </w:tc>
        <w:tc>
          <w:tcPr>
            <w:tcW w:w="1860" w:type="dxa"/>
            <w:tcMar>
              <w:top w:w="0" w:type="dxa"/>
              <w:bottom w:w="0" w:type="dxa"/>
            </w:tcMar>
            <w:vAlign w:val="center"/>
          </w:tcPr>
          <w:p w14:paraId="7B4408F0" w14:textId="77777777" w:rsidR="007C5D29" w:rsidRDefault="00A9463A">
            <w:pPr>
              <w:keepNext/>
              <w:keepLines/>
              <w:spacing w:after="0" w:line="240" w:lineRule="auto"/>
              <w:jc w:val="right"/>
            </w:pPr>
            <w:r>
              <w:rPr>
                <w:sz w:val="18"/>
              </w:rPr>
              <w:t>1.481.523,07</w:t>
            </w:r>
          </w:p>
        </w:tc>
        <w:tc>
          <w:tcPr>
            <w:tcW w:w="1860" w:type="dxa"/>
            <w:tcMar>
              <w:top w:w="0" w:type="dxa"/>
              <w:bottom w:w="0" w:type="dxa"/>
            </w:tcMar>
            <w:vAlign w:val="center"/>
          </w:tcPr>
          <w:p w14:paraId="7C17E754" w14:textId="77777777" w:rsidR="007C5D29" w:rsidRDefault="00A9463A">
            <w:pPr>
              <w:keepNext/>
              <w:keepLines/>
              <w:spacing w:after="0" w:line="240" w:lineRule="auto"/>
              <w:jc w:val="right"/>
            </w:pPr>
            <w:r>
              <w:rPr>
                <w:sz w:val="18"/>
              </w:rPr>
              <w:t>1.236.881,74</w:t>
            </w:r>
          </w:p>
        </w:tc>
        <w:tc>
          <w:tcPr>
            <w:tcW w:w="700" w:type="dxa"/>
            <w:tcMar>
              <w:top w:w="0" w:type="dxa"/>
              <w:bottom w:w="0" w:type="dxa"/>
            </w:tcMar>
            <w:vAlign w:val="center"/>
          </w:tcPr>
          <w:p w14:paraId="3C12835E" w14:textId="77777777" w:rsidR="007C5D29" w:rsidRDefault="00A9463A">
            <w:pPr>
              <w:keepNext/>
              <w:keepLines/>
              <w:spacing w:after="0" w:line="240" w:lineRule="auto"/>
              <w:jc w:val="right"/>
            </w:pPr>
            <w:r>
              <w:rPr>
                <w:sz w:val="18"/>
              </w:rPr>
              <w:t>83,5</w:t>
            </w:r>
          </w:p>
        </w:tc>
      </w:tr>
    </w:tbl>
    <w:p w14:paraId="047937D0" w14:textId="77777777" w:rsidR="007C5D29" w:rsidRDefault="007C5D29">
      <w:pPr>
        <w:spacing w:after="0"/>
      </w:pPr>
    </w:p>
    <w:p w14:paraId="395ED28C" w14:textId="77777777" w:rsidR="007C5D29" w:rsidRDefault="00A9463A">
      <w:r>
        <w:t>U 2025. godini ostvareni višak prihoda poslovanja pokriva manjak od nefinancijske imovine. </w:t>
      </w:r>
    </w:p>
    <w:p w14:paraId="05C0103E" w14:textId="77777777" w:rsidR="007C5D29" w:rsidRDefault="007C5D29"/>
    <w:p w14:paraId="343BC3A9" w14:textId="77777777" w:rsidR="007C5D29" w:rsidRDefault="00A9463A">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2797CA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CDF984"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FEA35F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2505B2"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5843A7"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2803CF"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26E124" w14:textId="77777777" w:rsidR="007C5D29" w:rsidRDefault="00A9463A">
            <w:pPr>
              <w:keepNext/>
              <w:keepLines/>
              <w:spacing w:after="0" w:line="240" w:lineRule="auto"/>
              <w:jc w:val="center"/>
            </w:pPr>
            <w:r>
              <w:rPr>
                <w:b/>
                <w:sz w:val="18"/>
              </w:rPr>
              <w:t>Indeks (%)</w:t>
            </w:r>
          </w:p>
        </w:tc>
      </w:tr>
      <w:tr w:rsidR="007C5D29" w14:paraId="3AC1787A" w14:textId="77777777">
        <w:tblPrEx>
          <w:tblCellMar>
            <w:top w:w="0" w:type="dxa"/>
            <w:bottom w:w="0" w:type="dxa"/>
          </w:tblCellMar>
        </w:tblPrEx>
        <w:trPr>
          <w:cantSplit/>
          <w:trHeight w:val="560"/>
        </w:trPr>
        <w:tc>
          <w:tcPr>
            <w:tcW w:w="700" w:type="dxa"/>
            <w:tcMar>
              <w:top w:w="0" w:type="dxa"/>
              <w:bottom w:w="0" w:type="dxa"/>
            </w:tcMar>
            <w:vAlign w:val="center"/>
          </w:tcPr>
          <w:p w14:paraId="053C2D88" w14:textId="77777777" w:rsidR="007C5D29" w:rsidRDefault="00A9463A">
            <w:pPr>
              <w:keepNext/>
              <w:keepLines/>
              <w:spacing w:after="0" w:line="240" w:lineRule="auto"/>
            </w:pPr>
            <w:r>
              <w:rPr>
                <w:sz w:val="18"/>
              </w:rPr>
              <w:t>421</w:t>
            </w:r>
          </w:p>
        </w:tc>
        <w:tc>
          <w:tcPr>
            <w:tcW w:w="3180" w:type="dxa"/>
            <w:tcMar>
              <w:top w:w="0" w:type="dxa"/>
              <w:bottom w:w="0" w:type="dxa"/>
            </w:tcMar>
            <w:vAlign w:val="center"/>
          </w:tcPr>
          <w:p w14:paraId="70AB6DA8" w14:textId="77777777" w:rsidR="007C5D29" w:rsidRDefault="00A9463A">
            <w:pPr>
              <w:keepNext/>
              <w:keepLines/>
              <w:spacing w:after="0" w:line="240" w:lineRule="auto"/>
            </w:pPr>
            <w:r>
              <w:rPr>
                <w:sz w:val="18"/>
              </w:rPr>
              <w:t>Građevinski objekti (šifre 4211 do 4214)</w:t>
            </w:r>
          </w:p>
        </w:tc>
        <w:tc>
          <w:tcPr>
            <w:tcW w:w="700" w:type="dxa"/>
            <w:tcMar>
              <w:top w:w="0" w:type="dxa"/>
              <w:bottom w:w="0" w:type="dxa"/>
            </w:tcMar>
            <w:vAlign w:val="center"/>
          </w:tcPr>
          <w:p w14:paraId="7B9AA928" w14:textId="77777777" w:rsidR="007C5D29" w:rsidRDefault="00A9463A">
            <w:pPr>
              <w:keepNext/>
              <w:keepLines/>
              <w:spacing w:after="0" w:line="240" w:lineRule="auto"/>
            </w:pPr>
            <w:r>
              <w:rPr>
                <w:sz w:val="18"/>
              </w:rPr>
              <w:t>421</w:t>
            </w:r>
          </w:p>
        </w:tc>
        <w:tc>
          <w:tcPr>
            <w:tcW w:w="1860" w:type="dxa"/>
            <w:tcMar>
              <w:top w:w="0" w:type="dxa"/>
              <w:bottom w:w="0" w:type="dxa"/>
            </w:tcMar>
            <w:vAlign w:val="center"/>
          </w:tcPr>
          <w:p w14:paraId="77586FB8" w14:textId="77777777" w:rsidR="007C5D29" w:rsidRDefault="00A9463A">
            <w:pPr>
              <w:keepNext/>
              <w:keepLines/>
              <w:spacing w:after="0" w:line="240" w:lineRule="auto"/>
              <w:jc w:val="right"/>
            </w:pPr>
            <w:r>
              <w:rPr>
                <w:sz w:val="18"/>
              </w:rPr>
              <w:t>1.014.573,38</w:t>
            </w:r>
          </w:p>
        </w:tc>
        <w:tc>
          <w:tcPr>
            <w:tcW w:w="1860" w:type="dxa"/>
            <w:tcMar>
              <w:top w:w="0" w:type="dxa"/>
              <w:bottom w:w="0" w:type="dxa"/>
            </w:tcMar>
            <w:vAlign w:val="center"/>
          </w:tcPr>
          <w:p w14:paraId="16C2E05B" w14:textId="77777777" w:rsidR="007C5D29" w:rsidRDefault="00A9463A">
            <w:pPr>
              <w:keepNext/>
              <w:keepLines/>
              <w:spacing w:after="0" w:line="240" w:lineRule="auto"/>
              <w:jc w:val="right"/>
            </w:pPr>
            <w:r>
              <w:rPr>
                <w:sz w:val="18"/>
              </w:rPr>
              <w:t>1.491.775,28</w:t>
            </w:r>
          </w:p>
        </w:tc>
        <w:tc>
          <w:tcPr>
            <w:tcW w:w="700" w:type="dxa"/>
            <w:tcMar>
              <w:top w:w="0" w:type="dxa"/>
              <w:bottom w:w="0" w:type="dxa"/>
            </w:tcMar>
            <w:vAlign w:val="center"/>
          </w:tcPr>
          <w:p w14:paraId="4D25B5EF" w14:textId="77777777" w:rsidR="007C5D29" w:rsidRDefault="00A9463A">
            <w:pPr>
              <w:keepNext/>
              <w:keepLines/>
              <w:spacing w:after="0" w:line="240" w:lineRule="auto"/>
              <w:jc w:val="right"/>
            </w:pPr>
            <w:r>
              <w:rPr>
                <w:sz w:val="18"/>
              </w:rPr>
              <w:t>147,0</w:t>
            </w:r>
          </w:p>
        </w:tc>
      </w:tr>
    </w:tbl>
    <w:p w14:paraId="2B37B451" w14:textId="77777777" w:rsidR="007C5D29" w:rsidRDefault="007C5D29">
      <w:pPr>
        <w:spacing w:after="0"/>
      </w:pPr>
    </w:p>
    <w:p w14:paraId="130D52A8" w14:textId="77777777" w:rsidR="007C5D29" w:rsidRDefault="00A9463A">
      <w:r>
        <w:t>Bilježi index od 147,0. Povećanje u odnosu na 2024. godinu je u većoj realizaciji obnove Spomeničke cjeline Dubrovnika.</w:t>
      </w:r>
    </w:p>
    <w:p w14:paraId="0128B899" w14:textId="77777777" w:rsidR="007C5D29" w:rsidRDefault="007C5D29"/>
    <w:p w14:paraId="123E7697" w14:textId="77777777" w:rsidR="007C5D29" w:rsidRDefault="00A9463A">
      <w:pPr>
        <w:keepNext/>
        <w:spacing w:line="240" w:lineRule="auto"/>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579A7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582A65"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5F11C3"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39365B"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E6F37B"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17BF41" w14:textId="77777777" w:rsidR="007C5D29" w:rsidRDefault="00A9463A">
            <w:pPr>
              <w:keepNext/>
              <w:keepLines/>
              <w:spacing w:after="0" w:line="240" w:lineRule="auto"/>
              <w:jc w:val="center"/>
            </w:pPr>
            <w:r>
              <w:rPr>
                <w:b/>
                <w:sz w:val="18"/>
              </w:rPr>
              <w:t xml:space="preserve">Ostvareno u </w:t>
            </w:r>
            <w:r>
              <w:rPr>
                <w:b/>
                <w:sz w:val="18"/>
              </w:rPr>
              <w:t>izvještajnom razdoblju tekuće godine</w:t>
            </w:r>
          </w:p>
        </w:tc>
        <w:tc>
          <w:tcPr>
            <w:tcW w:w="700" w:type="dxa"/>
            <w:shd w:val="clear" w:color="auto" w:fill="E7F0F9"/>
            <w:tcMar>
              <w:top w:w="0" w:type="dxa"/>
              <w:bottom w:w="0" w:type="dxa"/>
            </w:tcMar>
            <w:vAlign w:val="center"/>
          </w:tcPr>
          <w:p w14:paraId="4A10E6F8" w14:textId="77777777" w:rsidR="007C5D29" w:rsidRDefault="00A9463A">
            <w:pPr>
              <w:keepNext/>
              <w:keepLines/>
              <w:spacing w:after="0" w:line="240" w:lineRule="auto"/>
              <w:jc w:val="center"/>
            </w:pPr>
            <w:r>
              <w:rPr>
                <w:b/>
                <w:sz w:val="18"/>
              </w:rPr>
              <w:t>Indeks (%)</w:t>
            </w:r>
          </w:p>
        </w:tc>
      </w:tr>
      <w:tr w:rsidR="007C5D29" w14:paraId="3604C3F1" w14:textId="77777777">
        <w:tblPrEx>
          <w:tblCellMar>
            <w:top w:w="0" w:type="dxa"/>
            <w:bottom w:w="0" w:type="dxa"/>
          </w:tblCellMar>
        </w:tblPrEx>
        <w:trPr>
          <w:cantSplit/>
          <w:trHeight w:val="560"/>
        </w:trPr>
        <w:tc>
          <w:tcPr>
            <w:tcW w:w="700" w:type="dxa"/>
            <w:tcMar>
              <w:top w:w="0" w:type="dxa"/>
              <w:bottom w:w="0" w:type="dxa"/>
            </w:tcMar>
            <w:vAlign w:val="center"/>
          </w:tcPr>
          <w:p w14:paraId="27194A62" w14:textId="77777777" w:rsidR="007C5D29" w:rsidRDefault="00A9463A">
            <w:pPr>
              <w:keepNext/>
              <w:keepLines/>
              <w:spacing w:after="0" w:line="240" w:lineRule="auto"/>
            </w:pPr>
            <w:r>
              <w:rPr>
                <w:sz w:val="18"/>
              </w:rPr>
              <w:t>451</w:t>
            </w:r>
          </w:p>
        </w:tc>
        <w:tc>
          <w:tcPr>
            <w:tcW w:w="3180" w:type="dxa"/>
            <w:tcMar>
              <w:top w:w="0" w:type="dxa"/>
              <w:bottom w:w="0" w:type="dxa"/>
            </w:tcMar>
            <w:vAlign w:val="center"/>
          </w:tcPr>
          <w:p w14:paraId="10474B26" w14:textId="77777777" w:rsidR="007C5D29" w:rsidRDefault="00A9463A">
            <w:pPr>
              <w:keepNext/>
              <w:keepLines/>
              <w:spacing w:after="0" w:line="240" w:lineRule="auto"/>
            </w:pPr>
            <w:r>
              <w:rPr>
                <w:sz w:val="18"/>
              </w:rPr>
              <w:t>Dodatna ulaganja na građevinskim objektima</w:t>
            </w:r>
          </w:p>
        </w:tc>
        <w:tc>
          <w:tcPr>
            <w:tcW w:w="700" w:type="dxa"/>
            <w:tcMar>
              <w:top w:w="0" w:type="dxa"/>
              <w:bottom w:w="0" w:type="dxa"/>
            </w:tcMar>
            <w:vAlign w:val="center"/>
          </w:tcPr>
          <w:p w14:paraId="1A1AB777" w14:textId="77777777" w:rsidR="007C5D29" w:rsidRDefault="00A9463A">
            <w:pPr>
              <w:keepNext/>
              <w:keepLines/>
              <w:spacing w:after="0" w:line="240" w:lineRule="auto"/>
            </w:pPr>
            <w:r>
              <w:rPr>
                <w:sz w:val="18"/>
              </w:rPr>
              <w:t>451</w:t>
            </w:r>
          </w:p>
        </w:tc>
        <w:tc>
          <w:tcPr>
            <w:tcW w:w="1860" w:type="dxa"/>
            <w:tcMar>
              <w:top w:w="0" w:type="dxa"/>
              <w:bottom w:w="0" w:type="dxa"/>
            </w:tcMar>
            <w:vAlign w:val="center"/>
          </w:tcPr>
          <w:p w14:paraId="0DFD0EB9" w14:textId="77777777" w:rsidR="007C5D29" w:rsidRDefault="00A9463A">
            <w:pPr>
              <w:keepNext/>
              <w:keepLines/>
              <w:spacing w:after="0" w:line="240" w:lineRule="auto"/>
              <w:jc w:val="right"/>
            </w:pPr>
            <w:r>
              <w:rPr>
                <w:sz w:val="18"/>
              </w:rPr>
              <w:t>158.300,94</w:t>
            </w:r>
          </w:p>
        </w:tc>
        <w:tc>
          <w:tcPr>
            <w:tcW w:w="1860" w:type="dxa"/>
            <w:tcMar>
              <w:top w:w="0" w:type="dxa"/>
              <w:bottom w:w="0" w:type="dxa"/>
            </w:tcMar>
            <w:vAlign w:val="center"/>
          </w:tcPr>
          <w:p w14:paraId="402A956A" w14:textId="77777777" w:rsidR="007C5D29" w:rsidRDefault="00A9463A">
            <w:pPr>
              <w:keepNext/>
              <w:keepLines/>
              <w:spacing w:after="0" w:line="240" w:lineRule="auto"/>
              <w:jc w:val="right"/>
            </w:pPr>
            <w:r>
              <w:rPr>
                <w:sz w:val="18"/>
              </w:rPr>
              <w:t>122.333,68</w:t>
            </w:r>
          </w:p>
        </w:tc>
        <w:tc>
          <w:tcPr>
            <w:tcW w:w="700" w:type="dxa"/>
            <w:tcMar>
              <w:top w:w="0" w:type="dxa"/>
              <w:bottom w:w="0" w:type="dxa"/>
            </w:tcMar>
            <w:vAlign w:val="center"/>
          </w:tcPr>
          <w:p w14:paraId="3CB2E4EA" w14:textId="77777777" w:rsidR="007C5D29" w:rsidRDefault="00A9463A">
            <w:pPr>
              <w:keepNext/>
              <w:keepLines/>
              <w:spacing w:after="0" w:line="240" w:lineRule="auto"/>
              <w:jc w:val="right"/>
            </w:pPr>
            <w:r>
              <w:rPr>
                <w:sz w:val="18"/>
              </w:rPr>
              <w:t>77,3</w:t>
            </w:r>
          </w:p>
        </w:tc>
      </w:tr>
    </w:tbl>
    <w:p w14:paraId="6FDDD3B5" w14:textId="77777777" w:rsidR="007C5D29" w:rsidRDefault="007C5D29">
      <w:pPr>
        <w:spacing w:after="0"/>
      </w:pPr>
    </w:p>
    <w:p w14:paraId="2C0FBAD2" w14:textId="77777777" w:rsidR="007C5D29" w:rsidRDefault="00A9463A">
      <w:r>
        <w:t>Bilježi index 77,3. Odnose se na obnovu stanova u vlasništvu Grada Dubrovnika. U 2025. godini završena je obnova stana na adresi Od Kaštela 11, te je započela obnova dva stana na adresi Prijeko 28.</w:t>
      </w:r>
    </w:p>
    <w:p w14:paraId="727ECBB3" w14:textId="77777777" w:rsidR="007C5D29" w:rsidRDefault="007C5D29"/>
    <w:p w14:paraId="055981D3" w14:textId="77777777" w:rsidR="007C5D29" w:rsidRDefault="00A9463A">
      <w:pPr>
        <w:keepNext/>
        <w:spacing w:line="240" w:lineRule="auto"/>
        <w:jc w:val="center"/>
      </w:pPr>
      <w:r>
        <w:rPr>
          <w:b/>
          <w:sz w:val="28"/>
        </w:rPr>
        <w:t>Bilanca</w:t>
      </w:r>
    </w:p>
    <w:p w14:paraId="55D62F6D" w14:textId="77777777" w:rsidR="007C5D29" w:rsidRDefault="00A9463A">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2CBED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4E65625"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3839258"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992300E" w14:textId="77777777" w:rsidR="007C5D29" w:rsidRDefault="00A9463A">
            <w:pPr>
              <w:keepNext/>
              <w:keepLines/>
              <w:spacing w:after="0" w:line="240" w:lineRule="auto"/>
              <w:jc w:val="center"/>
            </w:pPr>
            <w:r>
              <w:rPr>
                <w:b/>
                <w:sz w:val="18"/>
              </w:rPr>
              <w:t>Šifr</w:t>
            </w:r>
            <w:r>
              <w:rPr>
                <w:b/>
                <w:sz w:val="18"/>
              </w:rPr>
              <w:t>a</w:t>
            </w:r>
          </w:p>
        </w:tc>
        <w:tc>
          <w:tcPr>
            <w:tcW w:w="1860" w:type="dxa"/>
            <w:shd w:val="clear" w:color="auto" w:fill="E7F0F9"/>
            <w:tcMar>
              <w:top w:w="0" w:type="dxa"/>
              <w:bottom w:w="0" w:type="dxa"/>
            </w:tcMar>
            <w:vAlign w:val="center"/>
          </w:tcPr>
          <w:p w14:paraId="084A6D1E"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48DE2F"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8807316" w14:textId="77777777" w:rsidR="007C5D29" w:rsidRDefault="00A9463A">
            <w:pPr>
              <w:keepNext/>
              <w:keepLines/>
              <w:spacing w:after="0" w:line="240" w:lineRule="auto"/>
              <w:jc w:val="center"/>
            </w:pPr>
            <w:r>
              <w:rPr>
                <w:b/>
                <w:sz w:val="18"/>
              </w:rPr>
              <w:t>Indeks (%)</w:t>
            </w:r>
          </w:p>
        </w:tc>
      </w:tr>
      <w:tr w:rsidR="007C5D29" w14:paraId="4CEE6429" w14:textId="77777777">
        <w:tblPrEx>
          <w:tblCellMar>
            <w:top w:w="0" w:type="dxa"/>
            <w:bottom w:w="0" w:type="dxa"/>
          </w:tblCellMar>
        </w:tblPrEx>
        <w:trPr>
          <w:cantSplit/>
          <w:trHeight w:val="560"/>
        </w:trPr>
        <w:tc>
          <w:tcPr>
            <w:tcW w:w="700" w:type="dxa"/>
            <w:tcMar>
              <w:top w:w="0" w:type="dxa"/>
              <w:bottom w:w="0" w:type="dxa"/>
            </w:tcMar>
            <w:vAlign w:val="center"/>
          </w:tcPr>
          <w:p w14:paraId="646ED75E" w14:textId="77777777" w:rsidR="007C5D29" w:rsidRDefault="00A9463A">
            <w:pPr>
              <w:keepNext/>
              <w:keepLines/>
              <w:spacing w:after="0" w:line="240" w:lineRule="auto"/>
            </w:pPr>
            <w:r>
              <w:rPr>
                <w:sz w:val="18"/>
              </w:rPr>
              <w:t>0214</w:t>
            </w:r>
          </w:p>
        </w:tc>
        <w:tc>
          <w:tcPr>
            <w:tcW w:w="3180" w:type="dxa"/>
            <w:tcMar>
              <w:top w:w="0" w:type="dxa"/>
              <w:bottom w:w="0" w:type="dxa"/>
            </w:tcMar>
            <w:vAlign w:val="center"/>
          </w:tcPr>
          <w:p w14:paraId="0B4921B2" w14:textId="77777777" w:rsidR="007C5D29" w:rsidRDefault="00A9463A">
            <w:pPr>
              <w:keepNext/>
              <w:keepLines/>
              <w:spacing w:after="0" w:line="240" w:lineRule="auto"/>
            </w:pPr>
            <w:r>
              <w:rPr>
                <w:sz w:val="18"/>
              </w:rPr>
              <w:t>Ostali građevinski objekti</w:t>
            </w:r>
          </w:p>
        </w:tc>
        <w:tc>
          <w:tcPr>
            <w:tcW w:w="700" w:type="dxa"/>
            <w:tcMar>
              <w:top w:w="0" w:type="dxa"/>
              <w:bottom w:w="0" w:type="dxa"/>
            </w:tcMar>
            <w:vAlign w:val="center"/>
          </w:tcPr>
          <w:p w14:paraId="0F9E6D67" w14:textId="77777777" w:rsidR="007C5D29" w:rsidRDefault="00A9463A">
            <w:pPr>
              <w:keepNext/>
              <w:keepLines/>
              <w:spacing w:after="0" w:line="240" w:lineRule="auto"/>
            </w:pPr>
            <w:r>
              <w:rPr>
                <w:sz w:val="18"/>
              </w:rPr>
              <w:t>0214</w:t>
            </w:r>
          </w:p>
        </w:tc>
        <w:tc>
          <w:tcPr>
            <w:tcW w:w="1860" w:type="dxa"/>
            <w:tcMar>
              <w:top w:w="0" w:type="dxa"/>
              <w:bottom w:w="0" w:type="dxa"/>
            </w:tcMar>
            <w:vAlign w:val="center"/>
          </w:tcPr>
          <w:p w14:paraId="4BD7C3B0"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2F7B046A" w14:textId="77777777" w:rsidR="007C5D29" w:rsidRDefault="00A9463A">
            <w:pPr>
              <w:keepNext/>
              <w:keepLines/>
              <w:spacing w:after="0" w:line="240" w:lineRule="auto"/>
              <w:jc w:val="right"/>
            </w:pPr>
            <w:r>
              <w:rPr>
                <w:sz w:val="18"/>
              </w:rPr>
              <w:t>654.477,21</w:t>
            </w:r>
          </w:p>
        </w:tc>
        <w:tc>
          <w:tcPr>
            <w:tcW w:w="700" w:type="dxa"/>
            <w:tcMar>
              <w:top w:w="0" w:type="dxa"/>
              <w:bottom w:w="0" w:type="dxa"/>
            </w:tcMar>
            <w:vAlign w:val="center"/>
          </w:tcPr>
          <w:p w14:paraId="1D65294E" w14:textId="77777777" w:rsidR="007C5D29" w:rsidRDefault="00A9463A">
            <w:pPr>
              <w:keepNext/>
              <w:keepLines/>
              <w:spacing w:after="0" w:line="240" w:lineRule="auto"/>
              <w:jc w:val="right"/>
            </w:pPr>
            <w:r>
              <w:rPr>
                <w:sz w:val="18"/>
              </w:rPr>
              <w:t>-</w:t>
            </w:r>
          </w:p>
        </w:tc>
      </w:tr>
    </w:tbl>
    <w:p w14:paraId="70855607" w14:textId="77777777" w:rsidR="007C5D29" w:rsidRDefault="007C5D29">
      <w:pPr>
        <w:spacing w:after="0"/>
      </w:pPr>
    </w:p>
    <w:p w14:paraId="46424247" w14:textId="77777777" w:rsidR="007C5D29" w:rsidRDefault="00A9463A">
      <w:r>
        <w:t>U 2025. godini ulaganja u imovinu Grada Dubrovnika koja odrađuje Zavod evidentirana su na kontu 0214 koja će po završetku ugovora biti prebačena na imovinu Grada Dubrovnika.</w:t>
      </w:r>
    </w:p>
    <w:p w14:paraId="76F581D2" w14:textId="77777777" w:rsidR="007C5D29" w:rsidRDefault="007C5D29"/>
    <w:p w14:paraId="438241EF" w14:textId="77777777" w:rsidR="007C5D29" w:rsidRDefault="00A9463A">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572F4D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285659"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1857D14"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1C6612"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849968"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6FDEE97" w14:textId="77777777" w:rsidR="007C5D29" w:rsidRDefault="00A9463A">
            <w:pPr>
              <w:keepNext/>
              <w:keepLines/>
              <w:spacing w:after="0" w:line="240" w:lineRule="auto"/>
              <w:jc w:val="center"/>
            </w:pPr>
            <w:r>
              <w:rPr>
                <w:b/>
                <w:sz w:val="18"/>
              </w:rPr>
              <w:t xml:space="preserve">Stanje 31. </w:t>
            </w:r>
            <w:r>
              <w:rPr>
                <w:b/>
                <w:sz w:val="18"/>
              </w:rPr>
              <w:t>prosinca</w:t>
            </w:r>
          </w:p>
        </w:tc>
        <w:tc>
          <w:tcPr>
            <w:tcW w:w="700" w:type="dxa"/>
            <w:shd w:val="clear" w:color="auto" w:fill="E7F0F9"/>
            <w:tcMar>
              <w:top w:w="0" w:type="dxa"/>
              <w:bottom w:w="0" w:type="dxa"/>
            </w:tcMar>
            <w:vAlign w:val="center"/>
          </w:tcPr>
          <w:p w14:paraId="16B6FF75" w14:textId="77777777" w:rsidR="007C5D29" w:rsidRDefault="00A9463A">
            <w:pPr>
              <w:keepNext/>
              <w:keepLines/>
              <w:spacing w:after="0" w:line="240" w:lineRule="auto"/>
              <w:jc w:val="center"/>
            </w:pPr>
            <w:r>
              <w:rPr>
                <w:b/>
                <w:sz w:val="18"/>
              </w:rPr>
              <w:t>Indeks (%)</w:t>
            </w:r>
          </w:p>
        </w:tc>
      </w:tr>
      <w:tr w:rsidR="007C5D29" w14:paraId="7BD3946E" w14:textId="77777777">
        <w:tblPrEx>
          <w:tblCellMar>
            <w:top w:w="0" w:type="dxa"/>
            <w:bottom w:w="0" w:type="dxa"/>
          </w:tblCellMar>
        </w:tblPrEx>
        <w:trPr>
          <w:cantSplit/>
          <w:trHeight w:val="560"/>
        </w:trPr>
        <w:tc>
          <w:tcPr>
            <w:tcW w:w="700" w:type="dxa"/>
            <w:tcMar>
              <w:top w:w="0" w:type="dxa"/>
              <w:bottom w:w="0" w:type="dxa"/>
            </w:tcMar>
            <w:vAlign w:val="center"/>
          </w:tcPr>
          <w:p w14:paraId="26286F18" w14:textId="77777777" w:rsidR="007C5D29" w:rsidRDefault="00A9463A">
            <w:pPr>
              <w:keepNext/>
              <w:keepLines/>
              <w:spacing w:after="0" w:line="240" w:lineRule="auto"/>
            </w:pPr>
            <w:r>
              <w:rPr>
                <w:sz w:val="18"/>
              </w:rPr>
              <w:t>0221</w:t>
            </w:r>
          </w:p>
        </w:tc>
        <w:tc>
          <w:tcPr>
            <w:tcW w:w="3180" w:type="dxa"/>
            <w:tcMar>
              <w:top w:w="0" w:type="dxa"/>
              <w:bottom w:w="0" w:type="dxa"/>
            </w:tcMar>
            <w:vAlign w:val="center"/>
          </w:tcPr>
          <w:p w14:paraId="783AB705" w14:textId="77777777" w:rsidR="007C5D29" w:rsidRDefault="00A9463A">
            <w:pPr>
              <w:keepNext/>
              <w:keepLines/>
              <w:spacing w:after="0" w:line="240" w:lineRule="auto"/>
            </w:pPr>
            <w:r>
              <w:rPr>
                <w:sz w:val="18"/>
              </w:rPr>
              <w:t>Uredska oprema i namještaj</w:t>
            </w:r>
          </w:p>
        </w:tc>
        <w:tc>
          <w:tcPr>
            <w:tcW w:w="700" w:type="dxa"/>
            <w:tcMar>
              <w:top w:w="0" w:type="dxa"/>
              <w:bottom w:w="0" w:type="dxa"/>
            </w:tcMar>
            <w:vAlign w:val="center"/>
          </w:tcPr>
          <w:p w14:paraId="7F8C29B5" w14:textId="77777777" w:rsidR="007C5D29" w:rsidRDefault="00A9463A">
            <w:pPr>
              <w:keepNext/>
              <w:keepLines/>
              <w:spacing w:after="0" w:line="240" w:lineRule="auto"/>
            </w:pPr>
            <w:r>
              <w:rPr>
                <w:sz w:val="18"/>
              </w:rPr>
              <w:t>0221</w:t>
            </w:r>
          </w:p>
        </w:tc>
        <w:tc>
          <w:tcPr>
            <w:tcW w:w="1860" w:type="dxa"/>
            <w:tcMar>
              <w:top w:w="0" w:type="dxa"/>
              <w:bottom w:w="0" w:type="dxa"/>
            </w:tcMar>
            <w:vAlign w:val="center"/>
          </w:tcPr>
          <w:p w14:paraId="3F28FE5D" w14:textId="77777777" w:rsidR="007C5D29" w:rsidRDefault="00A9463A">
            <w:pPr>
              <w:keepNext/>
              <w:keepLines/>
              <w:spacing w:after="0" w:line="240" w:lineRule="auto"/>
              <w:jc w:val="right"/>
            </w:pPr>
            <w:r>
              <w:rPr>
                <w:sz w:val="18"/>
              </w:rPr>
              <w:t>90.021,29</w:t>
            </w:r>
          </w:p>
        </w:tc>
        <w:tc>
          <w:tcPr>
            <w:tcW w:w="1860" w:type="dxa"/>
            <w:tcMar>
              <w:top w:w="0" w:type="dxa"/>
              <w:bottom w:w="0" w:type="dxa"/>
            </w:tcMar>
            <w:vAlign w:val="center"/>
          </w:tcPr>
          <w:p w14:paraId="22B30822" w14:textId="77777777" w:rsidR="007C5D29" w:rsidRDefault="00A9463A">
            <w:pPr>
              <w:keepNext/>
              <w:keepLines/>
              <w:spacing w:after="0" w:line="240" w:lineRule="auto"/>
              <w:jc w:val="right"/>
            </w:pPr>
            <w:r>
              <w:rPr>
                <w:sz w:val="18"/>
              </w:rPr>
              <w:t>94.148,79</w:t>
            </w:r>
          </w:p>
        </w:tc>
        <w:tc>
          <w:tcPr>
            <w:tcW w:w="700" w:type="dxa"/>
            <w:tcMar>
              <w:top w:w="0" w:type="dxa"/>
              <w:bottom w:w="0" w:type="dxa"/>
            </w:tcMar>
            <w:vAlign w:val="center"/>
          </w:tcPr>
          <w:p w14:paraId="494BCBBB" w14:textId="77777777" w:rsidR="007C5D29" w:rsidRDefault="00A9463A">
            <w:pPr>
              <w:keepNext/>
              <w:keepLines/>
              <w:spacing w:after="0" w:line="240" w:lineRule="auto"/>
              <w:jc w:val="right"/>
            </w:pPr>
            <w:r>
              <w:rPr>
                <w:sz w:val="18"/>
              </w:rPr>
              <w:t>104,6</w:t>
            </w:r>
          </w:p>
        </w:tc>
      </w:tr>
    </w:tbl>
    <w:p w14:paraId="7EF23572" w14:textId="77777777" w:rsidR="007C5D29" w:rsidRDefault="007C5D29">
      <w:pPr>
        <w:spacing w:after="0"/>
      </w:pPr>
    </w:p>
    <w:p w14:paraId="2CF94F6D" w14:textId="77777777" w:rsidR="007C5D29" w:rsidRDefault="00A9463A">
      <w:r>
        <w:t>U 2025. godini nabavljena su dva računala, te je nadograđen kapacitet na  jednom serveru. </w:t>
      </w:r>
    </w:p>
    <w:p w14:paraId="7368C98F" w14:textId="77777777" w:rsidR="007C5D29" w:rsidRDefault="007C5D29"/>
    <w:p w14:paraId="16095F4C" w14:textId="77777777" w:rsidR="007C5D29" w:rsidRDefault="00A9463A">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2BCE0A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99B344"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37EE43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605C169"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5D9BDA9"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4DDCC0"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F1AA238" w14:textId="77777777" w:rsidR="007C5D29" w:rsidRDefault="00A9463A">
            <w:pPr>
              <w:keepNext/>
              <w:keepLines/>
              <w:spacing w:after="0" w:line="240" w:lineRule="auto"/>
              <w:jc w:val="center"/>
            </w:pPr>
            <w:r>
              <w:rPr>
                <w:b/>
                <w:sz w:val="18"/>
              </w:rPr>
              <w:t>Indeks (%)</w:t>
            </w:r>
          </w:p>
        </w:tc>
      </w:tr>
      <w:tr w:rsidR="007C5D29" w14:paraId="4188C48E" w14:textId="77777777">
        <w:tblPrEx>
          <w:tblCellMar>
            <w:top w:w="0" w:type="dxa"/>
            <w:bottom w:w="0" w:type="dxa"/>
          </w:tblCellMar>
        </w:tblPrEx>
        <w:trPr>
          <w:cantSplit/>
          <w:trHeight w:val="560"/>
        </w:trPr>
        <w:tc>
          <w:tcPr>
            <w:tcW w:w="700" w:type="dxa"/>
            <w:tcMar>
              <w:top w:w="0" w:type="dxa"/>
              <w:bottom w:w="0" w:type="dxa"/>
            </w:tcMar>
            <w:vAlign w:val="center"/>
          </w:tcPr>
          <w:p w14:paraId="1A776C49" w14:textId="77777777" w:rsidR="007C5D29" w:rsidRDefault="00A9463A">
            <w:pPr>
              <w:keepNext/>
              <w:keepLines/>
              <w:spacing w:after="0" w:line="240" w:lineRule="auto"/>
            </w:pPr>
            <w:r>
              <w:rPr>
                <w:sz w:val="18"/>
              </w:rPr>
              <w:t>02922</w:t>
            </w:r>
          </w:p>
        </w:tc>
        <w:tc>
          <w:tcPr>
            <w:tcW w:w="3180" w:type="dxa"/>
            <w:tcMar>
              <w:top w:w="0" w:type="dxa"/>
              <w:bottom w:w="0" w:type="dxa"/>
            </w:tcMar>
            <w:vAlign w:val="center"/>
          </w:tcPr>
          <w:p w14:paraId="7281F4AC" w14:textId="77777777" w:rsidR="007C5D29" w:rsidRDefault="00A9463A">
            <w:pPr>
              <w:keepNext/>
              <w:keepLines/>
              <w:spacing w:after="0" w:line="240" w:lineRule="auto"/>
            </w:pPr>
            <w:r>
              <w:rPr>
                <w:sz w:val="18"/>
              </w:rPr>
              <w:t>Ispravak vrijednosti postrojenja i opreme</w:t>
            </w:r>
          </w:p>
        </w:tc>
        <w:tc>
          <w:tcPr>
            <w:tcW w:w="700" w:type="dxa"/>
            <w:tcMar>
              <w:top w:w="0" w:type="dxa"/>
              <w:bottom w:w="0" w:type="dxa"/>
            </w:tcMar>
            <w:vAlign w:val="center"/>
          </w:tcPr>
          <w:p w14:paraId="7E94679C" w14:textId="77777777" w:rsidR="007C5D29" w:rsidRDefault="00A9463A">
            <w:pPr>
              <w:keepNext/>
              <w:keepLines/>
              <w:spacing w:after="0" w:line="240" w:lineRule="auto"/>
            </w:pPr>
            <w:r>
              <w:rPr>
                <w:sz w:val="18"/>
              </w:rPr>
              <w:t>02922</w:t>
            </w:r>
          </w:p>
        </w:tc>
        <w:tc>
          <w:tcPr>
            <w:tcW w:w="1860" w:type="dxa"/>
            <w:tcMar>
              <w:top w:w="0" w:type="dxa"/>
              <w:bottom w:w="0" w:type="dxa"/>
            </w:tcMar>
            <w:vAlign w:val="center"/>
          </w:tcPr>
          <w:p w14:paraId="1E57D910" w14:textId="77777777" w:rsidR="007C5D29" w:rsidRDefault="00A9463A">
            <w:pPr>
              <w:keepNext/>
              <w:keepLines/>
              <w:spacing w:after="0" w:line="240" w:lineRule="auto"/>
              <w:jc w:val="right"/>
            </w:pPr>
            <w:r>
              <w:rPr>
                <w:sz w:val="18"/>
              </w:rPr>
              <w:t>227.322,60</w:t>
            </w:r>
          </w:p>
        </w:tc>
        <w:tc>
          <w:tcPr>
            <w:tcW w:w="1860" w:type="dxa"/>
            <w:tcMar>
              <w:top w:w="0" w:type="dxa"/>
              <w:bottom w:w="0" w:type="dxa"/>
            </w:tcMar>
            <w:vAlign w:val="center"/>
          </w:tcPr>
          <w:p w14:paraId="2B2F0B5D" w14:textId="77777777" w:rsidR="007C5D29" w:rsidRDefault="00A9463A">
            <w:pPr>
              <w:keepNext/>
              <w:keepLines/>
              <w:spacing w:after="0" w:line="240" w:lineRule="auto"/>
              <w:jc w:val="right"/>
            </w:pPr>
            <w:r>
              <w:rPr>
                <w:sz w:val="18"/>
              </w:rPr>
              <w:t>233.898,20</w:t>
            </w:r>
          </w:p>
        </w:tc>
        <w:tc>
          <w:tcPr>
            <w:tcW w:w="700" w:type="dxa"/>
            <w:tcMar>
              <w:top w:w="0" w:type="dxa"/>
              <w:bottom w:w="0" w:type="dxa"/>
            </w:tcMar>
            <w:vAlign w:val="center"/>
          </w:tcPr>
          <w:p w14:paraId="46D3AC60" w14:textId="77777777" w:rsidR="007C5D29" w:rsidRDefault="00A9463A">
            <w:pPr>
              <w:keepNext/>
              <w:keepLines/>
              <w:spacing w:after="0" w:line="240" w:lineRule="auto"/>
              <w:jc w:val="right"/>
            </w:pPr>
            <w:r>
              <w:rPr>
                <w:sz w:val="18"/>
              </w:rPr>
              <w:t>102,9</w:t>
            </w:r>
          </w:p>
        </w:tc>
      </w:tr>
    </w:tbl>
    <w:p w14:paraId="36E941B8" w14:textId="77777777" w:rsidR="007C5D29" w:rsidRDefault="007C5D29">
      <w:pPr>
        <w:spacing w:after="0"/>
      </w:pPr>
    </w:p>
    <w:p w14:paraId="2D8B0A49" w14:textId="77777777" w:rsidR="007C5D29" w:rsidRDefault="00A9463A">
      <w:r>
        <w:t>Evidentiran je godišnji ispravak vrijednosti osnovnih sredstava.</w:t>
      </w:r>
    </w:p>
    <w:p w14:paraId="4A164F36" w14:textId="77777777" w:rsidR="007C5D29" w:rsidRDefault="007C5D29"/>
    <w:p w14:paraId="54E9A967" w14:textId="77777777" w:rsidR="007C5D29" w:rsidRDefault="00A9463A">
      <w:pPr>
        <w:keepNext/>
        <w:spacing w:line="240" w:lineRule="auto"/>
        <w:jc w:val="center"/>
      </w:pPr>
      <w:r>
        <w:rPr>
          <w:sz w:val="28"/>
        </w:rPr>
        <w:lastRenderedPageBreak/>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3C655A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14A5A4"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A235A85"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9548744"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D62B92"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5526126"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465B1DE" w14:textId="77777777" w:rsidR="007C5D29" w:rsidRDefault="00A9463A">
            <w:pPr>
              <w:keepNext/>
              <w:keepLines/>
              <w:spacing w:after="0" w:line="240" w:lineRule="auto"/>
              <w:jc w:val="center"/>
            </w:pPr>
            <w:r>
              <w:rPr>
                <w:b/>
                <w:sz w:val="18"/>
              </w:rPr>
              <w:t>Indeks (%)</w:t>
            </w:r>
          </w:p>
        </w:tc>
      </w:tr>
      <w:tr w:rsidR="007C5D29" w14:paraId="116549A8" w14:textId="77777777">
        <w:tblPrEx>
          <w:tblCellMar>
            <w:top w:w="0" w:type="dxa"/>
            <w:bottom w:w="0" w:type="dxa"/>
          </w:tblCellMar>
        </w:tblPrEx>
        <w:trPr>
          <w:cantSplit/>
          <w:trHeight w:val="560"/>
        </w:trPr>
        <w:tc>
          <w:tcPr>
            <w:tcW w:w="700" w:type="dxa"/>
            <w:tcMar>
              <w:top w:w="0" w:type="dxa"/>
              <w:bottom w:w="0" w:type="dxa"/>
            </w:tcMar>
            <w:vAlign w:val="center"/>
          </w:tcPr>
          <w:p w14:paraId="175E28AA" w14:textId="77777777" w:rsidR="007C5D29" w:rsidRDefault="00A9463A">
            <w:pPr>
              <w:keepNext/>
              <w:keepLines/>
              <w:spacing w:after="0" w:line="240" w:lineRule="auto"/>
            </w:pPr>
            <w:r>
              <w:rPr>
                <w:sz w:val="18"/>
              </w:rPr>
              <w:t>051</w:t>
            </w:r>
          </w:p>
        </w:tc>
        <w:tc>
          <w:tcPr>
            <w:tcW w:w="3180" w:type="dxa"/>
            <w:tcMar>
              <w:top w:w="0" w:type="dxa"/>
              <w:bottom w:w="0" w:type="dxa"/>
            </w:tcMar>
            <w:vAlign w:val="center"/>
          </w:tcPr>
          <w:p w14:paraId="124AD12F" w14:textId="77777777" w:rsidR="007C5D29" w:rsidRDefault="00A9463A">
            <w:pPr>
              <w:keepNext/>
              <w:keepLines/>
              <w:spacing w:after="0" w:line="240" w:lineRule="auto"/>
            </w:pPr>
            <w:r>
              <w:rPr>
                <w:sz w:val="18"/>
              </w:rPr>
              <w:t>Građevinski objekti u pripremi</w:t>
            </w:r>
          </w:p>
        </w:tc>
        <w:tc>
          <w:tcPr>
            <w:tcW w:w="700" w:type="dxa"/>
            <w:tcMar>
              <w:top w:w="0" w:type="dxa"/>
              <w:bottom w:w="0" w:type="dxa"/>
            </w:tcMar>
            <w:vAlign w:val="center"/>
          </w:tcPr>
          <w:p w14:paraId="5B47C03B" w14:textId="77777777" w:rsidR="007C5D29" w:rsidRDefault="00A9463A">
            <w:pPr>
              <w:keepNext/>
              <w:keepLines/>
              <w:spacing w:after="0" w:line="240" w:lineRule="auto"/>
            </w:pPr>
            <w:r>
              <w:rPr>
                <w:sz w:val="18"/>
              </w:rPr>
              <w:t>051</w:t>
            </w:r>
          </w:p>
        </w:tc>
        <w:tc>
          <w:tcPr>
            <w:tcW w:w="1860" w:type="dxa"/>
            <w:tcMar>
              <w:top w:w="0" w:type="dxa"/>
              <w:bottom w:w="0" w:type="dxa"/>
            </w:tcMar>
            <w:vAlign w:val="center"/>
          </w:tcPr>
          <w:p w14:paraId="6AA66E33" w14:textId="77777777" w:rsidR="007C5D29" w:rsidRDefault="00A9463A">
            <w:pPr>
              <w:keepNext/>
              <w:keepLines/>
              <w:spacing w:after="0" w:line="240" w:lineRule="auto"/>
              <w:jc w:val="right"/>
            </w:pPr>
            <w:r>
              <w:rPr>
                <w:sz w:val="18"/>
              </w:rPr>
              <w:t>49.603,06</w:t>
            </w:r>
          </w:p>
        </w:tc>
        <w:tc>
          <w:tcPr>
            <w:tcW w:w="1860" w:type="dxa"/>
            <w:tcMar>
              <w:top w:w="0" w:type="dxa"/>
              <w:bottom w:w="0" w:type="dxa"/>
            </w:tcMar>
            <w:vAlign w:val="center"/>
          </w:tcPr>
          <w:p w14:paraId="0DDE8168" w14:textId="77777777" w:rsidR="007C5D29" w:rsidRDefault="00A9463A">
            <w:pPr>
              <w:keepNext/>
              <w:keepLines/>
              <w:spacing w:after="0" w:line="240" w:lineRule="auto"/>
              <w:jc w:val="right"/>
            </w:pPr>
            <w:r>
              <w:rPr>
                <w:sz w:val="18"/>
              </w:rPr>
              <w:t>56.708,68</w:t>
            </w:r>
          </w:p>
        </w:tc>
        <w:tc>
          <w:tcPr>
            <w:tcW w:w="700" w:type="dxa"/>
            <w:tcMar>
              <w:top w:w="0" w:type="dxa"/>
              <w:bottom w:w="0" w:type="dxa"/>
            </w:tcMar>
            <w:vAlign w:val="center"/>
          </w:tcPr>
          <w:p w14:paraId="2C173552" w14:textId="77777777" w:rsidR="007C5D29" w:rsidRDefault="00A9463A">
            <w:pPr>
              <w:keepNext/>
              <w:keepLines/>
              <w:spacing w:after="0" w:line="240" w:lineRule="auto"/>
              <w:jc w:val="right"/>
            </w:pPr>
            <w:r>
              <w:rPr>
                <w:sz w:val="18"/>
              </w:rPr>
              <w:t>114,3</w:t>
            </w:r>
          </w:p>
        </w:tc>
      </w:tr>
    </w:tbl>
    <w:p w14:paraId="75C774B7" w14:textId="77777777" w:rsidR="007C5D29" w:rsidRDefault="007C5D29">
      <w:pPr>
        <w:spacing w:after="0"/>
      </w:pPr>
    </w:p>
    <w:p w14:paraId="7FD583A4" w14:textId="77777777" w:rsidR="007C5D29" w:rsidRDefault="00A9463A">
      <w:r>
        <w:t>Odnosi se na obnovu stanova u vlasništvu Grada Dubrovnika te će se po završetku ugovora biti prebačena na imovinu Grada Dubrovnika.</w:t>
      </w:r>
    </w:p>
    <w:p w14:paraId="3D2831D3" w14:textId="77777777" w:rsidR="007C5D29" w:rsidRDefault="007C5D29"/>
    <w:p w14:paraId="4A0C403F" w14:textId="77777777" w:rsidR="007C5D29" w:rsidRDefault="00A9463A">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1D1A7A2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3098D7F"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0862E75"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B118DF"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13D8BC"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B6E8733"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A45A6BD" w14:textId="77777777" w:rsidR="007C5D29" w:rsidRDefault="00A9463A">
            <w:pPr>
              <w:keepNext/>
              <w:keepLines/>
              <w:spacing w:after="0" w:line="240" w:lineRule="auto"/>
              <w:jc w:val="center"/>
            </w:pPr>
            <w:r>
              <w:rPr>
                <w:b/>
                <w:sz w:val="18"/>
              </w:rPr>
              <w:t>Indeks (%)</w:t>
            </w:r>
          </w:p>
        </w:tc>
      </w:tr>
      <w:tr w:rsidR="007C5D29" w14:paraId="2330F342" w14:textId="77777777">
        <w:tblPrEx>
          <w:tblCellMar>
            <w:top w:w="0" w:type="dxa"/>
            <w:bottom w:w="0" w:type="dxa"/>
          </w:tblCellMar>
        </w:tblPrEx>
        <w:trPr>
          <w:cantSplit/>
          <w:trHeight w:val="560"/>
        </w:trPr>
        <w:tc>
          <w:tcPr>
            <w:tcW w:w="700" w:type="dxa"/>
            <w:tcMar>
              <w:top w:w="0" w:type="dxa"/>
              <w:bottom w:w="0" w:type="dxa"/>
            </w:tcMar>
            <w:vAlign w:val="center"/>
          </w:tcPr>
          <w:p w14:paraId="1BCBF2D2" w14:textId="77777777" w:rsidR="007C5D29" w:rsidRDefault="00A9463A">
            <w:pPr>
              <w:keepNext/>
              <w:keepLines/>
              <w:spacing w:after="0" w:line="240" w:lineRule="auto"/>
            </w:pPr>
            <w:r>
              <w:rPr>
                <w:sz w:val="18"/>
              </w:rPr>
              <w:t>11</w:t>
            </w:r>
          </w:p>
        </w:tc>
        <w:tc>
          <w:tcPr>
            <w:tcW w:w="3180" w:type="dxa"/>
            <w:tcMar>
              <w:top w:w="0" w:type="dxa"/>
              <w:bottom w:w="0" w:type="dxa"/>
            </w:tcMar>
            <w:vAlign w:val="center"/>
          </w:tcPr>
          <w:p w14:paraId="7A2F29EB" w14:textId="77777777" w:rsidR="007C5D29" w:rsidRDefault="00A9463A">
            <w:pPr>
              <w:keepNext/>
              <w:keepLines/>
              <w:spacing w:after="0" w:line="240" w:lineRule="auto"/>
            </w:pPr>
            <w:r>
              <w:rPr>
                <w:sz w:val="18"/>
              </w:rPr>
              <w:t xml:space="preserve">Novac u banci i </w:t>
            </w:r>
            <w:r>
              <w:rPr>
                <w:sz w:val="18"/>
              </w:rPr>
              <w:t>blagajni (šifre 111+112 do 114)</w:t>
            </w:r>
          </w:p>
        </w:tc>
        <w:tc>
          <w:tcPr>
            <w:tcW w:w="700" w:type="dxa"/>
            <w:tcMar>
              <w:top w:w="0" w:type="dxa"/>
              <w:bottom w:w="0" w:type="dxa"/>
            </w:tcMar>
            <w:vAlign w:val="center"/>
          </w:tcPr>
          <w:p w14:paraId="7E680F15" w14:textId="77777777" w:rsidR="007C5D29" w:rsidRDefault="00A9463A">
            <w:pPr>
              <w:keepNext/>
              <w:keepLines/>
              <w:spacing w:after="0" w:line="240" w:lineRule="auto"/>
            </w:pPr>
            <w:r>
              <w:rPr>
                <w:sz w:val="18"/>
              </w:rPr>
              <w:t>11</w:t>
            </w:r>
          </w:p>
        </w:tc>
        <w:tc>
          <w:tcPr>
            <w:tcW w:w="1860" w:type="dxa"/>
            <w:tcMar>
              <w:top w:w="0" w:type="dxa"/>
              <w:bottom w:w="0" w:type="dxa"/>
            </w:tcMar>
            <w:vAlign w:val="center"/>
          </w:tcPr>
          <w:p w14:paraId="79179C6D" w14:textId="77777777" w:rsidR="007C5D29" w:rsidRDefault="00A9463A">
            <w:pPr>
              <w:keepNext/>
              <w:keepLines/>
              <w:spacing w:after="0" w:line="240" w:lineRule="auto"/>
              <w:jc w:val="right"/>
            </w:pPr>
            <w:r>
              <w:rPr>
                <w:sz w:val="18"/>
              </w:rPr>
              <w:t>599.357,21</w:t>
            </w:r>
          </w:p>
        </w:tc>
        <w:tc>
          <w:tcPr>
            <w:tcW w:w="1860" w:type="dxa"/>
            <w:tcMar>
              <w:top w:w="0" w:type="dxa"/>
              <w:bottom w:w="0" w:type="dxa"/>
            </w:tcMar>
            <w:vAlign w:val="center"/>
          </w:tcPr>
          <w:p w14:paraId="19D8EEEC" w14:textId="77777777" w:rsidR="007C5D29" w:rsidRDefault="00A9463A">
            <w:pPr>
              <w:keepNext/>
              <w:keepLines/>
              <w:spacing w:after="0" w:line="240" w:lineRule="auto"/>
              <w:jc w:val="right"/>
            </w:pPr>
            <w:r>
              <w:rPr>
                <w:sz w:val="18"/>
              </w:rPr>
              <w:t>212.579,84</w:t>
            </w:r>
          </w:p>
        </w:tc>
        <w:tc>
          <w:tcPr>
            <w:tcW w:w="700" w:type="dxa"/>
            <w:tcMar>
              <w:top w:w="0" w:type="dxa"/>
              <w:bottom w:w="0" w:type="dxa"/>
            </w:tcMar>
            <w:vAlign w:val="center"/>
          </w:tcPr>
          <w:p w14:paraId="325287D0" w14:textId="77777777" w:rsidR="007C5D29" w:rsidRDefault="00A9463A">
            <w:pPr>
              <w:keepNext/>
              <w:keepLines/>
              <w:spacing w:after="0" w:line="240" w:lineRule="auto"/>
              <w:jc w:val="right"/>
            </w:pPr>
            <w:r>
              <w:rPr>
                <w:sz w:val="18"/>
              </w:rPr>
              <w:t>35,5</w:t>
            </w:r>
          </w:p>
        </w:tc>
      </w:tr>
    </w:tbl>
    <w:p w14:paraId="27F0E366" w14:textId="77777777" w:rsidR="007C5D29" w:rsidRDefault="007C5D29">
      <w:pPr>
        <w:spacing w:after="0"/>
      </w:pPr>
    </w:p>
    <w:p w14:paraId="5F509146" w14:textId="77777777" w:rsidR="007C5D29" w:rsidRDefault="00A9463A">
      <w:r>
        <w:t>Bilježi index 35,5. U odnosu na 2024. godinu došlo je do smanjenja obzirom da od 2025. godine većina poslovanja ide preko računa Grada Dubrovnika, te je u 2025. godini započeo prelazak na Riznicu.</w:t>
      </w:r>
    </w:p>
    <w:p w14:paraId="30E226BD" w14:textId="77777777" w:rsidR="007C5D29" w:rsidRDefault="007C5D29"/>
    <w:p w14:paraId="6EF4E13F" w14:textId="77777777" w:rsidR="007C5D29" w:rsidRDefault="00A9463A">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619D9C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721DC1"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BEC564C"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B76BA4"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A937BE" w14:textId="77777777" w:rsidR="007C5D29" w:rsidRDefault="00A9463A">
            <w:pPr>
              <w:keepNext/>
              <w:keepLines/>
              <w:spacing w:after="0" w:line="240" w:lineRule="auto"/>
              <w:jc w:val="center"/>
            </w:pPr>
            <w:r>
              <w:rPr>
                <w:b/>
                <w:sz w:val="18"/>
              </w:rPr>
              <w:t xml:space="preserve">Stanje </w:t>
            </w:r>
            <w:r>
              <w:rPr>
                <w:b/>
                <w:sz w:val="18"/>
              </w:rPr>
              <w:t>1. siječnja</w:t>
            </w:r>
          </w:p>
        </w:tc>
        <w:tc>
          <w:tcPr>
            <w:tcW w:w="1860" w:type="dxa"/>
            <w:shd w:val="clear" w:color="auto" w:fill="E7F0F9"/>
            <w:tcMar>
              <w:top w:w="0" w:type="dxa"/>
              <w:bottom w:w="0" w:type="dxa"/>
            </w:tcMar>
            <w:vAlign w:val="center"/>
          </w:tcPr>
          <w:p w14:paraId="75CC1A3C"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2176210" w14:textId="77777777" w:rsidR="007C5D29" w:rsidRDefault="00A9463A">
            <w:pPr>
              <w:keepNext/>
              <w:keepLines/>
              <w:spacing w:after="0" w:line="240" w:lineRule="auto"/>
              <w:jc w:val="center"/>
            </w:pPr>
            <w:r>
              <w:rPr>
                <w:b/>
                <w:sz w:val="18"/>
              </w:rPr>
              <w:t>Indeks (%)</w:t>
            </w:r>
          </w:p>
        </w:tc>
      </w:tr>
      <w:tr w:rsidR="007C5D29" w14:paraId="43774B19" w14:textId="77777777">
        <w:tblPrEx>
          <w:tblCellMar>
            <w:top w:w="0" w:type="dxa"/>
            <w:bottom w:w="0" w:type="dxa"/>
          </w:tblCellMar>
        </w:tblPrEx>
        <w:trPr>
          <w:cantSplit/>
          <w:trHeight w:val="560"/>
        </w:trPr>
        <w:tc>
          <w:tcPr>
            <w:tcW w:w="700" w:type="dxa"/>
            <w:tcMar>
              <w:top w:w="0" w:type="dxa"/>
              <w:bottom w:w="0" w:type="dxa"/>
            </w:tcMar>
            <w:vAlign w:val="center"/>
          </w:tcPr>
          <w:p w14:paraId="68C56D14" w14:textId="77777777" w:rsidR="007C5D29" w:rsidRDefault="00A9463A">
            <w:pPr>
              <w:keepNext/>
              <w:keepLines/>
              <w:spacing w:after="0" w:line="240" w:lineRule="auto"/>
            </w:pPr>
            <w:r>
              <w:rPr>
                <w:sz w:val="18"/>
              </w:rPr>
              <w:t>16</w:t>
            </w:r>
          </w:p>
        </w:tc>
        <w:tc>
          <w:tcPr>
            <w:tcW w:w="3180" w:type="dxa"/>
            <w:tcMar>
              <w:top w:w="0" w:type="dxa"/>
              <w:bottom w:w="0" w:type="dxa"/>
            </w:tcMar>
            <w:vAlign w:val="center"/>
          </w:tcPr>
          <w:p w14:paraId="78F68FC6" w14:textId="77777777" w:rsidR="007C5D29" w:rsidRDefault="00A9463A">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5F69445" w14:textId="77777777" w:rsidR="007C5D29" w:rsidRDefault="00A9463A">
            <w:pPr>
              <w:keepNext/>
              <w:keepLines/>
              <w:spacing w:after="0" w:line="240" w:lineRule="auto"/>
            </w:pPr>
            <w:r>
              <w:rPr>
                <w:sz w:val="18"/>
              </w:rPr>
              <w:t>16</w:t>
            </w:r>
          </w:p>
        </w:tc>
        <w:tc>
          <w:tcPr>
            <w:tcW w:w="1860" w:type="dxa"/>
            <w:tcMar>
              <w:top w:w="0" w:type="dxa"/>
              <w:bottom w:w="0" w:type="dxa"/>
            </w:tcMar>
            <w:vAlign w:val="center"/>
          </w:tcPr>
          <w:p w14:paraId="7FA2DFEC" w14:textId="77777777" w:rsidR="007C5D29" w:rsidRDefault="00A9463A">
            <w:pPr>
              <w:keepNext/>
              <w:keepLines/>
              <w:spacing w:after="0" w:line="240" w:lineRule="auto"/>
              <w:jc w:val="right"/>
            </w:pPr>
            <w:r>
              <w:rPr>
                <w:sz w:val="18"/>
              </w:rPr>
              <w:t>136.223,44</w:t>
            </w:r>
          </w:p>
        </w:tc>
        <w:tc>
          <w:tcPr>
            <w:tcW w:w="1860" w:type="dxa"/>
            <w:tcMar>
              <w:top w:w="0" w:type="dxa"/>
              <w:bottom w:w="0" w:type="dxa"/>
            </w:tcMar>
            <w:vAlign w:val="center"/>
          </w:tcPr>
          <w:p w14:paraId="26755E2B" w14:textId="77777777" w:rsidR="007C5D29" w:rsidRDefault="00A9463A">
            <w:pPr>
              <w:keepNext/>
              <w:keepLines/>
              <w:spacing w:after="0" w:line="240" w:lineRule="auto"/>
              <w:jc w:val="right"/>
            </w:pPr>
            <w:r>
              <w:rPr>
                <w:sz w:val="18"/>
              </w:rPr>
              <w:t>21.755,91</w:t>
            </w:r>
          </w:p>
        </w:tc>
        <w:tc>
          <w:tcPr>
            <w:tcW w:w="700" w:type="dxa"/>
            <w:tcMar>
              <w:top w:w="0" w:type="dxa"/>
              <w:bottom w:w="0" w:type="dxa"/>
            </w:tcMar>
            <w:vAlign w:val="center"/>
          </w:tcPr>
          <w:p w14:paraId="7FAA4DCA" w14:textId="77777777" w:rsidR="007C5D29" w:rsidRDefault="00A9463A">
            <w:pPr>
              <w:keepNext/>
              <w:keepLines/>
              <w:spacing w:after="0" w:line="240" w:lineRule="auto"/>
              <w:jc w:val="right"/>
            </w:pPr>
            <w:r>
              <w:rPr>
                <w:sz w:val="18"/>
              </w:rPr>
              <w:t>16,0</w:t>
            </w:r>
          </w:p>
        </w:tc>
      </w:tr>
    </w:tbl>
    <w:p w14:paraId="5288DCB7" w14:textId="77777777" w:rsidR="007C5D29" w:rsidRDefault="007C5D29">
      <w:pPr>
        <w:spacing w:after="0"/>
      </w:pPr>
    </w:p>
    <w:p w14:paraId="67884221" w14:textId="77777777" w:rsidR="007C5D29" w:rsidRDefault="00A9463A">
      <w:r>
        <w:t xml:space="preserve">Bilježi index od 16,0. U odnosu na 2024. godinu došlo je do smanjenja budući smo u 2024. godini evidentirali cijeli iznos ugovora bespovratnih sredstava za </w:t>
      </w:r>
      <w:proofErr w:type="spellStart"/>
      <w:r>
        <w:t>Inaco</w:t>
      </w:r>
      <w:proofErr w:type="spellEnd"/>
      <w:r>
        <w:t xml:space="preserve"> </w:t>
      </w:r>
      <w:proofErr w:type="spellStart"/>
      <w:r>
        <w:t>Interreg</w:t>
      </w:r>
      <w:proofErr w:type="spellEnd"/>
      <w:r>
        <w:t xml:space="preserve"> Central Europe projekt, te smo u 2025. stornirali i evidentirali po </w:t>
      </w:r>
      <w:proofErr w:type="spellStart"/>
      <w:r>
        <w:t>ZNS</w:t>
      </w:r>
      <w:proofErr w:type="spellEnd"/>
      <w:r>
        <w:t>-ovima.</w:t>
      </w:r>
    </w:p>
    <w:p w14:paraId="715DCA2C" w14:textId="77777777" w:rsidR="007C5D29" w:rsidRDefault="007C5D29"/>
    <w:p w14:paraId="3621E030" w14:textId="77777777" w:rsidR="007C5D29" w:rsidRDefault="00A9463A">
      <w:pPr>
        <w:keepNext/>
        <w:spacing w:line="240" w:lineRule="auto"/>
        <w:jc w:val="center"/>
      </w:pPr>
      <w:r>
        <w:rPr>
          <w:sz w:val="28"/>
        </w:rPr>
        <w:t>Bilje</w:t>
      </w:r>
      <w:r>
        <w:rPr>
          <w:sz w:val="28"/>
        </w:rPr>
        <w:t>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50AF1F0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A261FC"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95E481"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6BE82D"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B6F2D8"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88F22E9"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63B0155" w14:textId="77777777" w:rsidR="007C5D29" w:rsidRDefault="00A9463A">
            <w:pPr>
              <w:keepNext/>
              <w:keepLines/>
              <w:spacing w:after="0" w:line="240" w:lineRule="auto"/>
              <w:jc w:val="center"/>
            </w:pPr>
            <w:r>
              <w:rPr>
                <w:b/>
                <w:sz w:val="18"/>
              </w:rPr>
              <w:t>Indeks (%)</w:t>
            </w:r>
          </w:p>
        </w:tc>
      </w:tr>
      <w:tr w:rsidR="007C5D29" w14:paraId="1A88D4DD" w14:textId="77777777">
        <w:tblPrEx>
          <w:tblCellMar>
            <w:top w:w="0" w:type="dxa"/>
            <w:bottom w:w="0" w:type="dxa"/>
          </w:tblCellMar>
        </w:tblPrEx>
        <w:trPr>
          <w:cantSplit/>
          <w:trHeight w:val="560"/>
        </w:trPr>
        <w:tc>
          <w:tcPr>
            <w:tcW w:w="700" w:type="dxa"/>
            <w:tcMar>
              <w:top w:w="0" w:type="dxa"/>
              <w:bottom w:w="0" w:type="dxa"/>
            </w:tcMar>
            <w:vAlign w:val="center"/>
          </w:tcPr>
          <w:p w14:paraId="694620D7" w14:textId="77777777" w:rsidR="007C5D29" w:rsidRDefault="00A9463A">
            <w:pPr>
              <w:keepNext/>
              <w:keepLines/>
              <w:spacing w:after="0" w:line="240" w:lineRule="auto"/>
            </w:pPr>
            <w:r>
              <w:rPr>
                <w:sz w:val="18"/>
              </w:rPr>
              <w:t>23</w:t>
            </w:r>
          </w:p>
        </w:tc>
        <w:tc>
          <w:tcPr>
            <w:tcW w:w="3180" w:type="dxa"/>
            <w:tcMar>
              <w:top w:w="0" w:type="dxa"/>
              <w:bottom w:w="0" w:type="dxa"/>
            </w:tcMar>
            <w:vAlign w:val="center"/>
          </w:tcPr>
          <w:p w14:paraId="4266B504" w14:textId="77777777" w:rsidR="007C5D29" w:rsidRDefault="00A9463A">
            <w:pPr>
              <w:keepNext/>
              <w:keepLines/>
              <w:spacing w:after="0" w:line="240" w:lineRule="auto"/>
            </w:pPr>
            <w:r>
              <w:rPr>
                <w:sz w:val="18"/>
              </w:rPr>
              <w:t>Obveze za rashode poslovanja (šifre 231 do 234 + 235 + 236 + 237 do 239)</w:t>
            </w:r>
          </w:p>
        </w:tc>
        <w:tc>
          <w:tcPr>
            <w:tcW w:w="700" w:type="dxa"/>
            <w:tcMar>
              <w:top w:w="0" w:type="dxa"/>
              <w:bottom w:w="0" w:type="dxa"/>
            </w:tcMar>
            <w:vAlign w:val="center"/>
          </w:tcPr>
          <w:p w14:paraId="793B3D48" w14:textId="77777777" w:rsidR="007C5D29" w:rsidRDefault="00A9463A">
            <w:pPr>
              <w:keepNext/>
              <w:keepLines/>
              <w:spacing w:after="0" w:line="240" w:lineRule="auto"/>
            </w:pPr>
            <w:r>
              <w:rPr>
                <w:sz w:val="18"/>
              </w:rPr>
              <w:t>23</w:t>
            </w:r>
          </w:p>
        </w:tc>
        <w:tc>
          <w:tcPr>
            <w:tcW w:w="1860" w:type="dxa"/>
            <w:tcMar>
              <w:top w:w="0" w:type="dxa"/>
              <w:bottom w:w="0" w:type="dxa"/>
            </w:tcMar>
            <w:vAlign w:val="center"/>
          </w:tcPr>
          <w:p w14:paraId="70AAE365" w14:textId="77777777" w:rsidR="007C5D29" w:rsidRDefault="00A9463A">
            <w:pPr>
              <w:keepNext/>
              <w:keepLines/>
              <w:spacing w:after="0" w:line="240" w:lineRule="auto"/>
              <w:jc w:val="right"/>
            </w:pPr>
            <w:r>
              <w:rPr>
                <w:sz w:val="18"/>
              </w:rPr>
              <w:t>44.588,01</w:t>
            </w:r>
          </w:p>
        </w:tc>
        <w:tc>
          <w:tcPr>
            <w:tcW w:w="1860" w:type="dxa"/>
            <w:tcMar>
              <w:top w:w="0" w:type="dxa"/>
              <w:bottom w:w="0" w:type="dxa"/>
            </w:tcMar>
            <w:vAlign w:val="center"/>
          </w:tcPr>
          <w:p w14:paraId="66E29DCA" w14:textId="77777777" w:rsidR="007C5D29" w:rsidRDefault="00A9463A">
            <w:pPr>
              <w:keepNext/>
              <w:keepLines/>
              <w:spacing w:after="0" w:line="240" w:lineRule="auto"/>
              <w:jc w:val="right"/>
            </w:pPr>
            <w:r>
              <w:rPr>
                <w:sz w:val="18"/>
              </w:rPr>
              <w:t>71.490,53</w:t>
            </w:r>
          </w:p>
        </w:tc>
        <w:tc>
          <w:tcPr>
            <w:tcW w:w="700" w:type="dxa"/>
            <w:tcMar>
              <w:top w:w="0" w:type="dxa"/>
              <w:bottom w:w="0" w:type="dxa"/>
            </w:tcMar>
            <w:vAlign w:val="center"/>
          </w:tcPr>
          <w:p w14:paraId="1ECC3137" w14:textId="77777777" w:rsidR="007C5D29" w:rsidRDefault="00A9463A">
            <w:pPr>
              <w:keepNext/>
              <w:keepLines/>
              <w:spacing w:after="0" w:line="240" w:lineRule="auto"/>
              <w:jc w:val="right"/>
            </w:pPr>
            <w:r>
              <w:rPr>
                <w:sz w:val="18"/>
              </w:rPr>
              <w:t>160,3</w:t>
            </w:r>
          </w:p>
        </w:tc>
      </w:tr>
    </w:tbl>
    <w:p w14:paraId="0E5AD983" w14:textId="77777777" w:rsidR="007C5D29" w:rsidRDefault="007C5D29">
      <w:pPr>
        <w:spacing w:after="0"/>
      </w:pPr>
    </w:p>
    <w:p w14:paraId="4E57250B" w14:textId="77777777" w:rsidR="007C5D29" w:rsidRDefault="00A9463A">
      <w:r>
        <w:t>Stavka se odnosi na plaće za prosinca 2025., kao i račune pristigle za 2025. godinu čije dospijeće je u siječnju 2026.</w:t>
      </w:r>
    </w:p>
    <w:p w14:paraId="00350884" w14:textId="77777777" w:rsidR="007C5D29" w:rsidRDefault="007C5D29"/>
    <w:p w14:paraId="0D946A8D" w14:textId="77777777" w:rsidR="007C5D29" w:rsidRDefault="00A9463A">
      <w:pPr>
        <w:keepNext/>
        <w:spacing w:line="240" w:lineRule="auto"/>
        <w:jc w:val="center"/>
      </w:pPr>
      <w:r>
        <w:rPr>
          <w:sz w:val="28"/>
        </w:rPr>
        <w:lastRenderedPageBreak/>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0D0B04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C8585A"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DF22E39"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E40F36"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287A1C"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1E168CE"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F7E5836" w14:textId="77777777" w:rsidR="007C5D29" w:rsidRDefault="00A9463A">
            <w:pPr>
              <w:keepNext/>
              <w:keepLines/>
              <w:spacing w:after="0" w:line="240" w:lineRule="auto"/>
              <w:jc w:val="center"/>
            </w:pPr>
            <w:r>
              <w:rPr>
                <w:b/>
                <w:sz w:val="18"/>
              </w:rPr>
              <w:t>Indeks (%)</w:t>
            </w:r>
          </w:p>
        </w:tc>
      </w:tr>
      <w:tr w:rsidR="007C5D29" w14:paraId="045BEE67" w14:textId="77777777">
        <w:tblPrEx>
          <w:tblCellMar>
            <w:top w:w="0" w:type="dxa"/>
            <w:bottom w:w="0" w:type="dxa"/>
          </w:tblCellMar>
        </w:tblPrEx>
        <w:trPr>
          <w:cantSplit/>
          <w:trHeight w:val="560"/>
        </w:trPr>
        <w:tc>
          <w:tcPr>
            <w:tcW w:w="700" w:type="dxa"/>
            <w:tcMar>
              <w:top w:w="0" w:type="dxa"/>
              <w:bottom w:w="0" w:type="dxa"/>
            </w:tcMar>
            <w:vAlign w:val="center"/>
          </w:tcPr>
          <w:p w14:paraId="7AB2F0BF" w14:textId="77777777" w:rsidR="007C5D29" w:rsidRDefault="00A9463A">
            <w:pPr>
              <w:keepNext/>
              <w:keepLines/>
              <w:spacing w:after="0" w:line="240" w:lineRule="auto"/>
            </w:pPr>
            <w:r>
              <w:rPr>
                <w:sz w:val="18"/>
              </w:rPr>
              <w:t>242</w:t>
            </w:r>
          </w:p>
        </w:tc>
        <w:tc>
          <w:tcPr>
            <w:tcW w:w="3180" w:type="dxa"/>
            <w:tcMar>
              <w:top w:w="0" w:type="dxa"/>
              <w:bottom w:w="0" w:type="dxa"/>
            </w:tcMar>
            <w:vAlign w:val="center"/>
          </w:tcPr>
          <w:p w14:paraId="3DCAB97C" w14:textId="77777777" w:rsidR="007C5D29" w:rsidRDefault="00A9463A">
            <w:pPr>
              <w:keepNext/>
              <w:keepLines/>
              <w:spacing w:after="0" w:line="240" w:lineRule="auto"/>
            </w:pPr>
            <w:r>
              <w:rPr>
                <w:sz w:val="18"/>
              </w:rPr>
              <w:t xml:space="preserve">Obveze za nabavu </w:t>
            </w:r>
            <w:r>
              <w:rPr>
                <w:sz w:val="18"/>
              </w:rPr>
              <w:t>proizvedene dugotrajne imovine</w:t>
            </w:r>
          </w:p>
        </w:tc>
        <w:tc>
          <w:tcPr>
            <w:tcW w:w="700" w:type="dxa"/>
            <w:tcMar>
              <w:top w:w="0" w:type="dxa"/>
              <w:bottom w:w="0" w:type="dxa"/>
            </w:tcMar>
            <w:vAlign w:val="center"/>
          </w:tcPr>
          <w:p w14:paraId="253AABAE" w14:textId="77777777" w:rsidR="007C5D29" w:rsidRDefault="00A9463A">
            <w:pPr>
              <w:keepNext/>
              <w:keepLines/>
              <w:spacing w:after="0" w:line="240" w:lineRule="auto"/>
            </w:pPr>
            <w:r>
              <w:rPr>
                <w:sz w:val="18"/>
              </w:rPr>
              <w:t>242</w:t>
            </w:r>
          </w:p>
        </w:tc>
        <w:tc>
          <w:tcPr>
            <w:tcW w:w="1860" w:type="dxa"/>
            <w:tcMar>
              <w:top w:w="0" w:type="dxa"/>
              <w:bottom w:w="0" w:type="dxa"/>
            </w:tcMar>
            <w:vAlign w:val="center"/>
          </w:tcPr>
          <w:p w14:paraId="56D8FFB0" w14:textId="77777777" w:rsidR="007C5D29" w:rsidRDefault="00A9463A">
            <w:pPr>
              <w:keepNext/>
              <w:keepLines/>
              <w:spacing w:after="0" w:line="240" w:lineRule="auto"/>
              <w:jc w:val="right"/>
            </w:pPr>
            <w:r>
              <w:rPr>
                <w:sz w:val="18"/>
              </w:rPr>
              <w:t>104.053,28</w:t>
            </w:r>
          </w:p>
        </w:tc>
        <w:tc>
          <w:tcPr>
            <w:tcW w:w="1860" w:type="dxa"/>
            <w:tcMar>
              <w:top w:w="0" w:type="dxa"/>
              <w:bottom w:w="0" w:type="dxa"/>
            </w:tcMar>
            <w:vAlign w:val="center"/>
          </w:tcPr>
          <w:p w14:paraId="5DD5D5BB" w14:textId="77777777" w:rsidR="007C5D29" w:rsidRDefault="00A9463A">
            <w:pPr>
              <w:keepNext/>
              <w:keepLines/>
              <w:spacing w:after="0" w:line="240" w:lineRule="auto"/>
              <w:jc w:val="right"/>
            </w:pPr>
            <w:r>
              <w:rPr>
                <w:sz w:val="18"/>
              </w:rPr>
              <w:t>162.949,69</w:t>
            </w:r>
          </w:p>
        </w:tc>
        <w:tc>
          <w:tcPr>
            <w:tcW w:w="700" w:type="dxa"/>
            <w:tcMar>
              <w:top w:w="0" w:type="dxa"/>
              <w:bottom w:w="0" w:type="dxa"/>
            </w:tcMar>
            <w:vAlign w:val="center"/>
          </w:tcPr>
          <w:p w14:paraId="6F755C1E" w14:textId="77777777" w:rsidR="007C5D29" w:rsidRDefault="00A9463A">
            <w:pPr>
              <w:keepNext/>
              <w:keepLines/>
              <w:spacing w:after="0" w:line="240" w:lineRule="auto"/>
              <w:jc w:val="right"/>
            </w:pPr>
            <w:r>
              <w:rPr>
                <w:sz w:val="18"/>
              </w:rPr>
              <w:t>156,6</w:t>
            </w:r>
          </w:p>
        </w:tc>
      </w:tr>
    </w:tbl>
    <w:p w14:paraId="55D59080" w14:textId="77777777" w:rsidR="007C5D29" w:rsidRDefault="007C5D29">
      <w:pPr>
        <w:spacing w:after="0"/>
      </w:pPr>
    </w:p>
    <w:p w14:paraId="7D156958" w14:textId="77777777" w:rsidR="007C5D29" w:rsidRDefault="00A9463A">
      <w:r>
        <w:t>Odnosi se na račune pristigle za 2025. godinu za obnovu Spomeničke cjeline Dubrovnika čije je plaćanje u siječnju 2026.</w:t>
      </w:r>
    </w:p>
    <w:p w14:paraId="397755EC" w14:textId="77777777" w:rsidR="007C5D29" w:rsidRDefault="007C5D29"/>
    <w:p w14:paraId="32280970" w14:textId="77777777" w:rsidR="007C5D29" w:rsidRDefault="00A9463A">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2F62186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FEEB33"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291D162"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A4584"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E9932D"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4BFF500"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326B7B2" w14:textId="77777777" w:rsidR="007C5D29" w:rsidRDefault="00A9463A">
            <w:pPr>
              <w:keepNext/>
              <w:keepLines/>
              <w:spacing w:after="0" w:line="240" w:lineRule="auto"/>
              <w:jc w:val="center"/>
            </w:pPr>
            <w:r>
              <w:rPr>
                <w:b/>
                <w:sz w:val="18"/>
              </w:rPr>
              <w:t>Indeks (%)</w:t>
            </w:r>
          </w:p>
        </w:tc>
      </w:tr>
      <w:tr w:rsidR="007C5D29" w14:paraId="754F6264" w14:textId="77777777">
        <w:tblPrEx>
          <w:tblCellMar>
            <w:top w:w="0" w:type="dxa"/>
            <w:bottom w:w="0" w:type="dxa"/>
          </w:tblCellMar>
        </w:tblPrEx>
        <w:trPr>
          <w:cantSplit/>
          <w:trHeight w:val="560"/>
        </w:trPr>
        <w:tc>
          <w:tcPr>
            <w:tcW w:w="700" w:type="dxa"/>
            <w:tcMar>
              <w:top w:w="0" w:type="dxa"/>
              <w:bottom w:w="0" w:type="dxa"/>
            </w:tcMar>
            <w:vAlign w:val="center"/>
          </w:tcPr>
          <w:p w14:paraId="61501C09" w14:textId="77777777" w:rsidR="007C5D29" w:rsidRDefault="00A9463A">
            <w:pPr>
              <w:keepNext/>
              <w:keepLines/>
              <w:spacing w:after="0" w:line="240" w:lineRule="auto"/>
            </w:pPr>
            <w:r>
              <w:rPr>
                <w:sz w:val="18"/>
              </w:rPr>
              <w:t>245</w:t>
            </w:r>
          </w:p>
        </w:tc>
        <w:tc>
          <w:tcPr>
            <w:tcW w:w="3180" w:type="dxa"/>
            <w:tcMar>
              <w:top w:w="0" w:type="dxa"/>
              <w:bottom w:w="0" w:type="dxa"/>
            </w:tcMar>
            <w:vAlign w:val="center"/>
          </w:tcPr>
          <w:p w14:paraId="59506A92" w14:textId="77777777" w:rsidR="007C5D29" w:rsidRDefault="00A9463A">
            <w:pPr>
              <w:keepNext/>
              <w:keepLines/>
              <w:spacing w:after="0" w:line="240" w:lineRule="auto"/>
            </w:pPr>
            <w:r>
              <w:rPr>
                <w:sz w:val="18"/>
              </w:rPr>
              <w:t xml:space="preserve">Obveze za dodatna </w:t>
            </w:r>
            <w:r>
              <w:rPr>
                <w:sz w:val="18"/>
              </w:rPr>
              <w:t>ulaganja na nefinancijskoj imovini</w:t>
            </w:r>
          </w:p>
        </w:tc>
        <w:tc>
          <w:tcPr>
            <w:tcW w:w="700" w:type="dxa"/>
            <w:tcMar>
              <w:top w:w="0" w:type="dxa"/>
              <w:bottom w:w="0" w:type="dxa"/>
            </w:tcMar>
            <w:vAlign w:val="center"/>
          </w:tcPr>
          <w:p w14:paraId="7D15530E" w14:textId="77777777" w:rsidR="007C5D29" w:rsidRDefault="00A9463A">
            <w:pPr>
              <w:keepNext/>
              <w:keepLines/>
              <w:spacing w:after="0" w:line="240" w:lineRule="auto"/>
            </w:pPr>
            <w:r>
              <w:rPr>
                <w:sz w:val="18"/>
              </w:rPr>
              <w:t>245</w:t>
            </w:r>
          </w:p>
        </w:tc>
        <w:tc>
          <w:tcPr>
            <w:tcW w:w="1860" w:type="dxa"/>
            <w:tcMar>
              <w:top w:w="0" w:type="dxa"/>
              <w:bottom w:w="0" w:type="dxa"/>
            </w:tcMar>
            <w:vAlign w:val="center"/>
          </w:tcPr>
          <w:p w14:paraId="36202F21"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0BBCE653" w14:textId="77777777" w:rsidR="007C5D29" w:rsidRDefault="00A9463A">
            <w:pPr>
              <w:keepNext/>
              <w:keepLines/>
              <w:spacing w:after="0" w:line="240" w:lineRule="auto"/>
              <w:jc w:val="right"/>
            </w:pPr>
            <w:r>
              <w:rPr>
                <w:sz w:val="18"/>
              </w:rPr>
              <w:t>1.300,00</w:t>
            </w:r>
          </w:p>
        </w:tc>
        <w:tc>
          <w:tcPr>
            <w:tcW w:w="700" w:type="dxa"/>
            <w:tcMar>
              <w:top w:w="0" w:type="dxa"/>
              <w:bottom w:w="0" w:type="dxa"/>
            </w:tcMar>
            <w:vAlign w:val="center"/>
          </w:tcPr>
          <w:p w14:paraId="68DCAFC1" w14:textId="77777777" w:rsidR="007C5D29" w:rsidRDefault="00A9463A">
            <w:pPr>
              <w:keepNext/>
              <w:keepLines/>
              <w:spacing w:after="0" w:line="240" w:lineRule="auto"/>
              <w:jc w:val="right"/>
            </w:pPr>
            <w:r>
              <w:rPr>
                <w:sz w:val="18"/>
              </w:rPr>
              <w:t>-</w:t>
            </w:r>
          </w:p>
        </w:tc>
      </w:tr>
    </w:tbl>
    <w:p w14:paraId="017E8A06" w14:textId="77777777" w:rsidR="007C5D29" w:rsidRDefault="007C5D29">
      <w:pPr>
        <w:spacing w:after="0"/>
      </w:pPr>
    </w:p>
    <w:p w14:paraId="6E81A6AC" w14:textId="77777777" w:rsidR="007C5D29" w:rsidRDefault="00A9463A">
      <w:r>
        <w:t>Odnosi se na račune pristigle za 2025. godinu za obnovu stanova u vlasništvu Grada Dubrovnika čije je plaćanje u siječnju 2026.</w:t>
      </w:r>
    </w:p>
    <w:p w14:paraId="7EE411E9" w14:textId="77777777" w:rsidR="007C5D29" w:rsidRDefault="007C5D29"/>
    <w:p w14:paraId="0E9025F0" w14:textId="77777777" w:rsidR="007C5D29" w:rsidRDefault="00A9463A">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B35D6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0C1944"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321E92"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CB8AD9"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E9A8F6F"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2A7D5EAE"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6A60C62" w14:textId="77777777" w:rsidR="007C5D29" w:rsidRDefault="00A9463A">
            <w:pPr>
              <w:keepNext/>
              <w:keepLines/>
              <w:spacing w:after="0" w:line="240" w:lineRule="auto"/>
              <w:jc w:val="center"/>
            </w:pPr>
            <w:r>
              <w:rPr>
                <w:b/>
                <w:sz w:val="18"/>
              </w:rPr>
              <w:t>Indeks (%)</w:t>
            </w:r>
          </w:p>
        </w:tc>
      </w:tr>
      <w:tr w:rsidR="007C5D29" w14:paraId="057EF43D" w14:textId="77777777">
        <w:tblPrEx>
          <w:tblCellMar>
            <w:top w:w="0" w:type="dxa"/>
            <w:bottom w:w="0" w:type="dxa"/>
          </w:tblCellMar>
        </w:tblPrEx>
        <w:trPr>
          <w:cantSplit/>
          <w:trHeight w:val="560"/>
        </w:trPr>
        <w:tc>
          <w:tcPr>
            <w:tcW w:w="700" w:type="dxa"/>
            <w:tcMar>
              <w:top w:w="0" w:type="dxa"/>
              <w:bottom w:w="0" w:type="dxa"/>
            </w:tcMar>
            <w:vAlign w:val="center"/>
          </w:tcPr>
          <w:p w14:paraId="6B824ACF" w14:textId="77777777" w:rsidR="007C5D29" w:rsidRDefault="00A9463A">
            <w:pPr>
              <w:keepNext/>
              <w:keepLines/>
              <w:spacing w:after="0" w:line="240" w:lineRule="auto"/>
            </w:pPr>
            <w:r>
              <w:rPr>
                <w:sz w:val="18"/>
              </w:rPr>
              <w:t>27</w:t>
            </w:r>
          </w:p>
        </w:tc>
        <w:tc>
          <w:tcPr>
            <w:tcW w:w="3180" w:type="dxa"/>
            <w:tcMar>
              <w:top w:w="0" w:type="dxa"/>
              <w:bottom w:w="0" w:type="dxa"/>
            </w:tcMar>
            <w:vAlign w:val="center"/>
          </w:tcPr>
          <w:p w14:paraId="007CE0D0" w14:textId="77777777" w:rsidR="007C5D29" w:rsidRDefault="00A9463A">
            <w:pPr>
              <w:keepNext/>
              <w:keepLines/>
              <w:spacing w:after="0" w:line="240" w:lineRule="auto"/>
            </w:pPr>
            <w:r>
              <w:rPr>
                <w:sz w:val="18"/>
              </w:rPr>
              <w:t xml:space="preserve">Obveze za </w:t>
            </w:r>
            <w:r>
              <w:rPr>
                <w:sz w:val="18"/>
              </w:rPr>
              <w:t xml:space="preserve">predujmove, depozite, </w:t>
            </w:r>
            <w:proofErr w:type="spellStart"/>
            <w:r>
              <w:rPr>
                <w:sz w:val="18"/>
              </w:rPr>
              <w:t>jamčevne</w:t>
            </w:r>
            <w:proofErr w:type="spellEnd"/>
            <w:r>
              <w:rPr>
                <w:sz w:val="18"/>
              </w:rPr>
              <w:t xml:space="preserve"> </w:t>
            </w:r>
            <w:proofErr w:type="spellStart"/>
            <w:r>
              <w:rPr>
                <w:sz w:val="18"/>
              </w:rPr>
              <w:t>pologe</w:t>
            </w:r>
            <w:proofErr w:type="spellEnd"/>
            <w:r>
              <w:rPr>
                <w:sz w:val="18"/>
              </w:rPr>
              <w:t xml:space="preserve"> i tuđe prihode</w:t>
            </w:r>
          </w:p>
        </w:tc>
        <w:tc>
          <w:tcPr>
            <w:tcW w:w="700" w:type="dxa"/>
            <w:tcMar>
              <w:top w:w="0" w:type="dxa"/>
              <w:bottom w:w="0" w:type="dxa"/>
            </w:tcMar>
            <w:vAlign w:val="center"/>
          </w:tcPr>
          <w:p w14:paraId="51C9378B" w14:textId="77777777" w:rsidR="007C5D29" w:rsidRDefault="00A9463A">
            <w:pPr>
              <w:keepNext/>
              <w:keepLines/>
              <w:spacing w:after="0" w:line="240" w:lineRule="auto"/>
            </w:pPr>
            <w:r>
              <w:rPr>
                <w:sz w:val="18"/>
              </w:rPr>
              <w:t>27</w:t>
            </w:r>
          </w:p>
        </w:tc>
        <w:tc>
          <w:tcPr>
            <w:tcW w:w="1860" w:type="dxa"/>
            <w:tcMar>
              <w:top w:w="0" w:type="dxa"/>
              <w:bottom w:w="0" w:type="dxa"/>
            </w:tcMar>
            <w:vAlign w:val="center"/>
          </w:tcPr>
          <w:p w14:paraId="2F64C13D" w14:textId="77777777" w:rsidR="007C5D29" w:rsidRDefault="00A9463A">
            <w:pPr>
              <w:keepNext/>
              <w:keepLines/>
              <w:spacing w:after="0" w:line="240" w:lineRule="auto"/>
              <w:jc w:val="right"/>
            </w:pPr>
            <w:r>
              <w:rPr>
                <w:sz w:val="18"/>
              </w:rPr>
              <w:t>102.139,20</w:t>
            </w:r>
          </w:p>
        </w:tc>
        <w:tc>
          <w:tcPr>
            <w:tcW w:w="1860" w:type="dxa"/>
            <w:tcMar>
              <w:top w:w="0" w:type="dxa"/>
              <w:bottom w:w="0" w:type="dxa"/>
            </w:tcMar>
            <w:vAlign w:val="center"/>
          </w:tcPr>
          <w:p w14:paraId="47561C1F" w14:textId="77777777" w:rsidR="007C5D29" w:rsidRDefault="00A9463A">
            <w:pPr>
              <w:keepNext/>
              <w:keepLines/>
              <w:spacing w:after="0" w:line="240" w:lineRule="auto"/>
              <w:jc w:val="right"/>
            </w:pPr>
            <w:r>
              <w:rPr>
                <w:sz w:val="18"/>
              </w:rPr>
              <w:t>8.815,24</w:t>
            </w:r>
          </w:p>
        </w:tc>
        <w:tc>
          <w:tcPr>
            <w:tcW w:w="700" w:type="dxa"/>
            <w:tcMar>
              <w:top w:w="0" w:type="dxa"/>
              <w:bottom w:w="0" w:type="dxa"/>
            </w:tcMar>
            <w:vAlign w:val="center"/>
          </w:tcPr>
          <w:p w14:paraId="4D81BEBB" w14:textId="77777777" w:rsidR="007C5D29" w:rsidRDefault="00A9463A">
            <w:pPr>
              <w:keepNext/>
              <w:keepLines/>
              <w:spacing w:after="0" w:line="240" w:lineRule="auto"/>
              <w:jc w:val="right"/>
            </w:pPr>
            <w:r>
              <w:rPr>
                <w:sz w:val="18"/>
              </w:rPr>
              <w:t>8,6</w:t>
            </w:r>
          </w:p>
        </w:tc>
      </w:tr>
    </w:tbl>
    <w:p w14:paraId="726C75A4" w14:textId="77777777" w:rsidR="007C5D29" w:rsidRDefault="007C5D29">
      <w:pPr>
        <w:spacing w:after="0"/>
      </w:pPr>
    </w:p>
    <w:p w14:paraId="45E9F83C" w14:textId="77777777" w:rsidR="007C5D29" w:rsidRDefault="00A9463A">
      <w:r>
        <w:t>Bilježi index od 8,6. U odnosu na 2024. došlo je do smanjenja budući Zavod više ne evidentira Obvezu povrata u proračun neopravdanih sredstava na 31.12.2025. jer prihod evidentira tek po plaćenom računu od Grada Dubrovnika s obzirom na prelazak u sustav Ri</w:t>
      </w:r>
      <w:r>
        <w:t>znice.</w:t>
      </w:r>
    </w:p>
    <w:p w14:paraId="3BE4DFC0" w14:textId="77777777" w:rsidR="007C5D29" w:rsidRDefault="007C5D29"/>
    <w:p w14:paraId="5668AD4D" w14:textId="77777777" w:rsidR="007C5D29" w:rsidRDefault="00A9463A">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22F3B4C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CD5A0A"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03D6CC"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542D8C"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641ABE" w14:textId="77777777" w:rsidR="007C5D29" w:rsidRDefault="00A9463A">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E62BE6A"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D2FEF15" w14:textId="77777777" w:rsidR="007C5D29" w:rsidRDefault="00A9463A">
            <w:pPr>
              <w:keepNext/>
              <w:keepLines/>
              <w:spacing w:after="0" w:line="240" w:lineRule="auto"/>
              <w:jc w:val="center"/>
            </w:pPr>
            <w:r>
              <w:rPr>
                <w:b/>
                <w:sz w:val="18"/>
              </w:rPr>
              <w:t>Indeks (%)</w:t>
            </w:r>
          </w:p>
        </w:tc>
      </w:tr>
      <w:tr w:rsidR="007C5D29" w14:paraId="566CBA3D" w14:textId="77777777">
        <w:tblPrEx>
          <w:tblCellMar>
            <w:top w:w="0" w:type="dxa"/>
            <w:bottom w:w="0" w:type="dxa"/>
          </w:tblCellMar>
        </w:tblPrEx>
        <w:trPr>
          <w:cantSplit/>
          <w:trHeight w:val="560"/>
        </w:trPr>
        <w:tc>
          <w:tcPr>
            <w:tcW w:w="700" w:type="dxa"/>
            <w:tcMar>
              <w:top w:w="0" w:type="dxa"/>
              <w:bottom w:w="0" w:type="dxa"/>
            </w:tcMar>
            <w:vAlign w:val="center"/>
          </w:tcPr>
          <w:p w14:paraId="7A6BCA7A" w14:textId="77777777" w:rsidR="007C5D29" w:rsidRDefault="00A9463A">
            <w:pPr>
              <w:keepNext/>
              <w:keepLines/>
              <w:spacing w:after="0" w:line="240" w:lineRule="auto"/>
            </w:pPr>
            <w:r>
              <w:rPr>
                <w:sz w:val="18"/>
              </w:rPr>
              <w:t>922</w:t>
            </w:r>
          </w:p>
        </w:tc>
        <w:tc>
          <w:tcPr>
            <w:tcW w:w="3180" w:type="dxa"/>
            <w:tcMar>
              <w:top w:w="0" w:type="dxa"/>
              <w:bottom w:w="0" w:type="dxa"/>
            </w:tcMar>
            <w:vAlign w:val="center"/>
          </w:tcPr>
          <w:p w14:paraId="14439865" w14:textId="77777777" w:rsidR="007C5D29" w:rsidRDefault="00A9463A">
            <w:pPr>
              <w:keepNext/>
              <w:keepLines/>
              <w:spacing w:after="0" w:line="240" w:lineRule="auto"/>
            </w:pPr>
            <w:r>
              <w:rPr>
                <w:sz w:val="18"/>
              </w:rPr>
              <w:t>Rezultat - višak/manjak (šifre 9221-9222)</w:t>
            </w:r>
          </w:p>
        </w:tc>
        <w:tc>
          <w:tcPr>
            <w:tcW w:w="700" w:type="dxa"/>
            <w:tcMar>
              <w:top w:w="0" w:type="dxa"/>
              <w:bottom w:w="0" w:type="dxa"/>
            </w:tcMar>
            <w:vAlign w:val="center"/>
          </w:tcPr>
          <w:p w14:paraId="003A07BA" w14:textId="77777777" w:rsidR="007C5D29" w:rsidRDefault="00A9463A">
            <w:pPr>
              <w:keepNext/>
              <w:keepLines/>
              <w:spacing w:after="0" w:line="240" w:lineRule="auto"/>
            </w:pPr>
            <w:r>
              <w:rPr>
                <w:sz w:val="18"/>
              </w:rPr>
              <w:t>922</w:t>
            </w:r>
          </w:p>
        </w:tc>
        <w:tc>
          <w:tcPr>
            <w:tcW w:w="1860" w:type="dxa"/>
            <w:tcMar>
              <w:top w:w="0" w:type="dxa"/>
              <w:bottom w:w="0" w:type="dxa"/>
            </w:tcMar>
            <w:vAlign w:val="center"/>
          </w:tcPr>
          <w:p w14:paraId="4D47246A" w14:textId="77777777" w:rsidR="007C5D29" w:rsidRDefault="00A9463A">
            <w:pPr>
              <w:keepNext/>
              <w:keepLines/>
              <w:spacing w:after="0" w:line="240" w:lineRule="auto"/>
              <w:jc w:val="right"/>
            </w:pPr>
            <w:r>
              <w:rPr>
                <w:sz w:val="18"/>
              </w:rPr>
              <w:t>350.811,00</w:t>
            </w:r>
          </w:p>
        </w:tc>
        <w:tc>
          <w:tcPr>
            <w:tcW w:w="1860" w:type="dxa"/>
            <w:tcMar>
              <w:top w:w="0" w:type="dxa"/>
              <w:bottom w:w="0" w:type="dxa"/>
            </w:tcMar>
            <w:vAlign w:val="center"/>
          </w:tcPr>
          <w:p w14:paraId="3D4CD90A" w14:textId="77777777" w:rsidR="007C5D29" w:rsidRDefault="00A9463A">
            <w:pPr>
              <w:keepNext/>
              <w:keepLines/>
              <w:spacing w:after="0" w:line="240" w:lineRule="auto"/>
              <w:jc w:val="right"/>
            </w:pPr>
            <w:r>
              <w:rPr>
                <w:sz w:val="18"/>
              </w:rPr>
              <w:t>-30.543,72</w:t>
            </w:r>
          </w:p>
        </w:tc>
        <w:tc>
          <w:tcPr>
            <w:tcW w:w="700" w:type="dxa"/>
            <w:tcMar>
              <w:top w:w="0" w:type="dxa"/>
              <w:bottom w:w="0" w:type="dxa"/>
            </w:tcMar>
            <w:vAlign w:val="center"/>
          </w:tcPr>
          <w:p w14:paraId="482F3763" w14:textId="77777777" w:rsidR="007C5D29" w:rsidRDefault="00A9463A">
            <w:pPr>
              <w:keepNext/>
              <w:keepLines/>
              <w:spacing w:after="0" w:line="240" w:lineRule="auto"/>
              <w:jc w:val="right"/>
            </w:pPr>
            <w:r>
              <w:rPr>
                <w:sz w:val="18"/>
              </w:rPr>
              <w:t>-8,7</w:t>
            </w:r>
          </w:p>
        </w:tc>
      </w:tr>
    </w:tbl>
    <w:p w14:paraId="243197DE" w14:textId="3B1C66F2" w:rsidR="007C5D29" w:rsidRDefault="007C5D29">
      <w:pPr>
        <w:spacing w:after="0"/>
      </w:pPr>
    </w:p>
    <w:p w14:paraId="4BA61460" w14:textId="3D688523" w:rsidR="00A9463A" w:rsidRDefault="00A9463A">
      <w:pPr>
        <w:spacing w:after="0"/>
      </w:pPr>
    </w:p>
    <w:p w14:paraId="6DC85685" w14:textId="39AC1F1B" w:rsidR="00A9463A" w:rsidRDefault="00A9463A">
      <w:pPr>
        <w:spacing w:after="0"/>
      </w:pPr>
    </w:p>
    <w:p w14:paraId="1B323324" w14:textId="6FE0A7DE" w:rsidR="00A9463A" w:rsidRDefault="00A9463A">
      <w:pPr>
        <w:spacing w:after="0"/>
      </w:pPr>
    </w:p>
    <w:p w14:paraId="1894EDE8" w14:textId="77777777" w:rsidR="00A9463A" w:rsidRDefault="00A9463A">
      <w:pPr>
        <w:spacing w:after="0"/>
      </w:pPr>
    </w:p>
    <w:tbl>
      <w:tblPr>
        <w:tblStyle w:val="Reetkatablice"/>
        <w:tblW w:w="4561" w:type="pct"/>
        <w:tblLook w:val="04A0" w:firstRow="1" w:lastRow="0" w:firstColumn="1" w:lastColumn="0" w:noHBand="0" w:noVBand="1"/>
      </w:tblPr>
      <w:tblGrid>
        <w:gridCol w:w="1914"/>
        <w:gridCol w:w="1056"/>
        <w:gridCol w:w="856"/>
        <w:gridCol w:w="936"/>
        <w:gridCol w:w="856"/>
        <w:gridCol w:w="776"/>
        <w:gridCol w:w="936"/>
        <w:gridCol w:w="936"/>
      </w:tblGrid>
      <w:tr w:rsidR="00A9463A" w14:paraId="1FDAC8E1" w14:textId="77777777" w:rsidTr="00A9463A">
        <w:trPr>
          <w:trHeight w:val="542"/>
        </w:trPr>
        <w:tc>
          <w:tcPr>
            <w:tcW w:w="1235" w:type="pct"/>
            <w:vAlign w:val="center"/>
          </w:tcPr>
          <w:p w14:paraId="1D9BF418" w14:textId="77777777" w:rsidR="007C5D29" w:rsidRPr="00A9463A" w:rsidRDefault="00A9463A">
            <w:pPr>
              <w:rPr>
                <w:sz w:val="16"/>
                <w:szCs w:val="16"/>
              </w:rPr>
            </w:pPr>
            <w:r w:rsidRPr="00A9463A">
              <w:rPr>
                <w:sz w:val="16"/>
                <w:szCs w:val="16"/>
              </w:rPr>
              <w:lastRenderedPageBreak/>
              <w:t> </w:t>
            </w:r>
          </w:p>
        </w:tc>
        <w:tc>
          <w:tcPr>
            <w:tcW w:w="328" w:type="pct"/>
            <w:vAlign w:val="center"/>
          </w:tcPr>
          <w:p w14:paraId="02F00B66" w14:textId="77777777" w:rsidR="007C5D29" w:rsidRPr="00A9463A" w:rsidRDefault="00A9463A">
            <w:pPr>
              <w:keepNext/>
              <w:jc w:val="center"/>
              <w:rPr>
                <w:sz w:val="16"/>
                <w:szCs w:val="16"/>
              </w:rPr>
            </w:pPr>
            <w:r w:rsidRPr="00A9463A">
              <w:rPr>
                <w:sz w:val="16"/>
                <w:szCs w:val="16"/>
              </w:rPr>
              <w:t>IZVOR</w:t>
            </w:r>
          </w:p>
        </w:tc>
        <w:tc>
          <w:tcPr>
            <w:tcW w:w="508" w:type="pct"/>
            <w:vAlign w:val="center"/>
          </w:tcPr>
          <w:p w14:paraId="4DF1F0E4" w14:textId="77777777" w:rsidR="007C5D29" w:rsidRPr="00A9463A" w:rsidRDefault="00A9463A">
            <w:pPr>
              <w:keepNext/>
              <w:jc w:val="center"/>
              <w:rPr>
                <w:sz w:val="16"/>
                <w:szCs w:val="16"/>
              </w:rPr>
            </w:pPr>
            <w:r w:rsidRPr="00A9463A">
              <w:rPr>
                <w:sz w:val="16"/>
                <w:szCs w:val="16"/>
              </w:rPr>
              <w:t>IZVOR</w:t>
            </w:r>
          </w:p>
        </w:tc>
        <w:tc>
          <w:tcPr>
            <w:tcW w:w="586" w:type="pct"/>
            <w:vAlign w:val="center"/>
          </w:tcPr>
          <w:p w14:paraId="55B33472" w14:textId="77777777" w:rsidR="007C5D29" w:rsidRPr="00A9463A" w:rsidRDefault="00A9463A">
            <w:pPr>
              <w:keepNext/>
              <w:jc w:val="center"/>
              <w:rPr>
                <w:sz w:val="16"/>
                <w:szCs w:val="16"/>
              </w:rPr>
            </w:pPr>
            <w:r w:rsidRPr="00A9463A">
              <w:rPr>
                <w:sz w:val="16"/>
                <w:szCs w:val="16"/>
              </w:rPr>
              <w:t>IZVOR</w:t>
            </w:r>
          </w:p>
        </w:tc>
        <w:tc>
          <w:tcPr>
            <w:tcW w:w="585" w:type="pct"/>
            <w:vAlign w:val="center"/>
          </w:tcPr>
          <w:p w14:paraId="56EFCD2F" w14:textId="77777777" w:rsidR="007C5D29" w:rsidRPr="00A9463A" w:rsidRDefault="00A9463A">
            <w:pPr>
              <w:keepNext/>
              <w:jc w:val="center"/>
              <w:rPr>
                <w:sz w:val="16"/>
                <w:szCs w:val="16"/>
              </w:rPr>
            </w:pPr>
            <w:r w:rsidRPr="00A9463A">
              <w:rPr>
                <w:sz w:val="16"/>
                <w:szCs w:val="16"/>
              </w:rPr>
              <w:t>IZVOR</w:t>
            </w:r>
          </w:p>
        </w:tc>
        <w:tc>
          <w:tcPr>
            <w:tcW w:w="502" w:type="pct"/>
            <w:vAlign w:val="center"/>
          </w:tcPr>
          <w:p w14:paraId="489F60C3" w14:textId="77777777" w:rsidR="007C5D29" w:rsidRPr="00A9463A" w:rsidRDefault="00A9463A">
            <w:pPr>
              <w:keepNext/>
              <w:jc w:val="center"/>
              <w:rPr>
                <w:sz w:val="16"/>
                <w:szCs w:val="16"/>
              </w:rPr>
            </w:pPr>
            <w:r w:rsidRPr="00A9463A">
              <w:rPr>
                <w:sz w:val="16"/>
                <w:szCs w:val="16"/>
              </w:rPr>
              <w:t>IZVOR</w:t>
            </w:r>
          </w:p>
        </w:tc>
        <w:tc>
          <w:tcPr>
            <w:tcW w:w="586" w:type="pct"/>
            <w:vAlign w:val="center"/>
          </w:tcPr>
          <w:p w14:paraId="254FE6C4" w14:textId="77777777" w:rsidR="007C5D29" w:rsidRPr="00A9463A" w:rsidRDefault="00A9463A">
            <w:pPr>
              <w:keepNext/>
              <w:jc w:val="center"/>
              <w:rPr>
                <w:sz w:val="16"/>
                <w:szCs w:val="16"/>
              </w:rPr>
            </w:pPr>
            <w:r w:rsidRPr="00A9463A">
              <w:rPr>
                <w:sz w:val="16"/>
                <w:szCs w:val="16"/>
              </w:rPr>
              <w:t>IZVOR</w:t>
            </w:r>
          </w:p>
        </w:tc>
        <w:tc>
          <w:tcPr>
            <w:tcW w:w="670" w:type="pct"/>
            <w:vAlign w:val="center"/>
          </w:tcPr>
          <w:p w14:paraId="0554C373" w14:textId="77777777" w:rsidR="007C5D29" w:rsidRPr="00A9463A" w:rsidRDefault="00A9463A">
            <w:pPr>
              <w:keepNext/>
              <w:jc w:val="center"/>
              <w:rPr>
                <w:sz w:val="16"/>
                <w:szCs w:val="16"/>
              </w:rPr>
            </w:pPr>
            <w:r w:rsidRPr="00A9463A">
              <w:rPr>
                <w:sz w:val="16"/>
                <w:szCs w:val="16"/>
              </w:rPr>
              <w:t>IZVOR</w:t>
            </w:r>
          </w:p>
        </w:tc>
      </w:tr>
      <w:tr w:rsidR="00A9463A" w14:paraId="373FAF0E" w14:textId="77777777" w:rsidTr="00A9463A">
        <w:trPr>
          <w:trHeight w:val="542"/>
        </w:trPr>
        <w:tc>
          <w:tcPr>
            <w:tcW w:w="1235" w:type="pct"/>
            <w:vAlign w:val="center"/>
          </w:tcPr>
          <w:p w14:paraId="275918C3" w14:textId="77777777" w:rsidR="007C5D29" w:rsidRPr="00A9463A" w:rsidRDefault="00A9463A">
            <w:pPr>
              <w:rPr>
                <w:sz w:val="16"/>
                <w:szCs w:val="16"/>
              </w:rPr>
            </w:pPr>
            <w:r w:rsidRPr="00A9463A">
              <w:rPr>
                <w:sz w:val="16"/>
                <w:szCs w:val="16"/>
              </w:rPr>
              <w:t> </w:t>
            </w:r>
          </w:p>
        </w:tc>
        <w:tc>
          <w:tcPr>
            <w:tcW w:w="328" w:type="pct"/>
            <w:vAlign w:val="center"/>
          </w:tcPr>
          <w:p w14:paraId="2017AD16" w14:textId="77777777" w:rsidR="007C5D29" w:rsidRPr="00A9463A" w:rsidRDefault="00A9463A">
            <w:pPr>
              <w:keepNext/>
              <w:jc w:val="center"/>
              <w:rPr>
                <w:b/>
                <w:bCs/>
                <w:sz w:val="16"/>
                <w:szCs w:val="16"/>
              </w:rPr>
            </w:pPr>
            <w:r w:rsidRPr="00A9463A">
              <w:rPr>
                <w:b/>
                <w:bCs/>
                <w:sz w:val="16"/>
                <w:szCs w:val="16"/>
              </w:rPr>
              <w:t>11</w:t>
            </w:r>
          </w:p>
        </w:tc>
        <w:tc>
          <w:tcPr>
            <w:tcW w:w="508" w:type="pct"/>
            <w:vAlign w:val="center"/>
          </w:tcPr>
          <w:p w14:paraId="4757D9F7" w14:textId="77777777" w:rsidR="007C5D29" w:rsidRPr="00A9463A" w:rsidRDefault="00A9463A">
            <w:pPr>
              <w:keepNext/>
              <w:jc w:val="center"/>
              <w:rPr>
                <w:b/>
                <w:bCs/>
                <w:sz w:val="16"/>
                <w:szCs w:val="16"/>
              </w:rPr>
            </w:pPr>
            <w:r w:rsidRPr="00A9463A">
              <w:rPr>
                <w:b/>
                <w:bCs/>
                <w:sz w:val="16"/>
                <w:szCs w:val="16"/>
              </w:rPr>
              <w:t>12</w:t>
            </w:r>
          </w:p>
        </w:tc>
        <w:tc>
          <w:tcPr>
            <w:tcW w:w="586" w:type="pct"/>
            <w:vAlign w:val="center"/>
          </w:tcPr>
          <w:p w14:paraId="1051C2AF" w14:textId="77777777" w:rsidR="007C5D29" w:rsidRPr="00A9463A" w:rsidRDefault="00A9463A">
            <w:pPr>
              <w:keepNext/>
              <w:jc w:val="center"/>
              <w:rPr>
                <w:b/>
                <w:bCs/>
                <w:sz w:val="16"/>
                <w:szCs w:val="16"/>
              </w:rPr>
            </w:pPr>
            <w:r w:rsidRPr="00A9463A">
              <w:rPr>
                <w:b/>
                <w:bCs/>
                <w:sz w:val="16"/>
                <w:szCs w:val="16"/>
              </w:rPr>
              <w:t>43</w:t>
            </w:r>
          </w:p>
        </w:tc>
        <w:tc>
          <w:tcPr>
            <w:tcW w:w="585" w:type="pct"/>
            <w:vAlign w:val="center"/>
          </w:tcPr>
          <w:p w14:paraId="2BA660E8" w14:textId="77777777" w:rsidR="007C5D29" w:rsidRPr="00A9463A" w:rsidRDefault="00A9463A">
            <w:pPr>
              <w:keepNext/>
              <w:jc w:val="center"/>
              <w:rPr>
                <w:b/>
                <w:bCs/>
                <w:sz w:val="16"/>
                <w:szCs w:val="16"/>
              </w:rPr>
            </w:pPr>
            <w:r w:rsidRPr="00A9463A">
              <w:rPr>
                <w:b/>
                <w:bCs/>
                <w:sz w:val="16"/>
                <w:szCs w:val="16"/>
              </w:rPr>
              <w:t>92</w:t>
            </w:r>
          </w:p>
        </w:tc>
        <w:tc>
          <w:tcPr>
            <w:tcW w:w="502" w:type="pct"/>
            <w:vAlign w:val="center"/>
          </w:tcPr>
          <w:p w14:paraId="28E07A00" w14:textId="77777777" w:rsidR="007C5D29" w:rsidRPr="00A9463A" w:rsidRDefault="00A9463A">
            <w:pPr>
              <w:keepNext/>
              <w:jc w:val="center"/>
              <w:rPr>
                <w:b/>
                <w:bCs/>
                <w:sz w:val="16"/>
                <w:szCs w:val="16"/>
              </w:rPr>
            </w:pPr>
            <w:r w:rsidRPr="00A9463A">
              <w:rPr>
                <w:b/>
                <w:bCs/>
                <w:sz w:val="16"/>
                <w:szCs w:val="16"/>
              </w:rPr>
              <w:t>35</w:t>
            </w:r>
          </w:p>
        </w:tc>
        <w:tc>
          <w:tcPr>
            <w:tcW w:w="586" w:type="pct"/>
            <w:vAlign w:val="center"/>
          </w:tcPr>
          <w:p w14:paraId="46B5240C" w14:textId="77777777" w:rsidR="007C5D29" w:rsidRPr="00A9463A" w:rsidRDefault="00A9463A">
            <w:pPr>
              <w:keepNext/>
              <w:jc w:val="center"/>
              <w:rPr>
                <w:b/>
                <w:bCs/>
                <w:sz w:val="16"/>
                <w:szCs w:val="16"/>
              </w:rPr>
            </w:pPr>
            <w:r w:rsidRPr="00A9463A">
              <w:rPr>
                <w:b/>
                <w:bCs/>
                <w:sz w:val="16"/>
                <w:szCs w:val="16"/>
              </w:rPr>
              <w:t>65</w:t>
            </w:r>
          </w:p>
        </w:tc>
        <w:tc>
          <w:tcPr>
            <w:tcW w:w="670" w:type="pct"/>
            <w:vAlign w:val="center"/>
          </w:tcPr>
          <w:p w14:paraId="2E34B63B" w14:textId="77777777" w:rsidR="007C5D29" w:rsidRPr="00A9463A" w:rsidRDefault="00A9463A">
            <w:pPr>
              <w:keepNext/>
              <w:jc w:val="center"/>
              <w:rPr>
                <w:b/>
                <w:bCs/>
                <w:sz w:val="16"/>
                <w:szCs w:val="16"/>
              </w:rPr>
            </w:pPr>
            <w:r w:rsidRPr="00A9463A">
              <w:rPr>
                <w:b/>
                <w:bCs/>
                <w:sz w:val="16"/>
                <w:szCs w:val="16"/>
              </w:rPr>
              <w:t>99</w:t>
            </w:r>
          </w:p>
        </w:tc>
      </w:tr>
      <w:tr w:rsidR="00A9463A" w14:paraId="30EF0F52" w14:textId="77777777" w:rsidTr="00A9463A">
        <w:trPr>
          <w:trHeight w:val="299"/>
        </w:trPr>
        <w:tc>
          <w:tcPr>
            <w:tcW w:w="1235" w:type="pct"/>
            <w:vAlign w:val="center"/>
          </w:tcPr>
          <w:p w14:paraId="212B79B7" w14:textId="77777777" w:rsidR="007C5D29" w:rsidRPr="00A9463A" w:rsidRDefault="00A9463A">
            <w:pPr>
              <w:rPr>
                <w:sz w:val="16"/>
                <w:szCs w:val="16"/>
              </w:rPr>
            </w:pPr>
            <w:r w:rsidRPr="00A9463A">
              <w:rPr>
                <w:sz w:val="16"/>
                <w:szCs w:val="16"/>
              </w:rPr>
              <w:t>PRIHOD POSLOVANJA</w:t>
            </w:r>
          </w:p>
        </w:tc>
        <w:tc>
          <w:tcPr>
            <w:tcW w:w="328" w:type="pct"/>
            <w:vAlign w:val="center"/>
          </w:tcPr>
          <w:p w14:paraId="1BE91BDA" w14:textId="77777777" w:rsidR="007C5D29" w:rsidRPr="00A9463A" w:rsidRDefault="00A9463A">
            <w:pPr>
              <w:rPr>
                <w:sz w:val="16"/>
                <w:szCs w:val="16"/>
              </w:rPr>
            </w:pPr>
            <w:r w:rsidRPr="00A9463A">
              <w:rPr>
                <w:sz w:val="16"/>
                <w:szCs w:val="16"/>
              </w:rPr>
              <w:t>1.026.292,34</w:t>
            </w:r>
          </w:p>
        </w:tc>
        <w:tc>
          <w:tcPr>
            <w:tcW w:w="508" w:type="pct"/>
            <w:vAlign w:val="center"/>
          </w:tcPr>
          <w:p w14:paraId="58DE40C7" w14:textId="77777777" w:rsidR="007C5D29" w:rsidRPr="00A9463A" w:rsidRDefault="00A9463A">
            <w:pPr>
              <w:rPr>
                <w:sz w:val="16"/>
                <w:szCs w:val="16"/>
              </w:rPr>
            </w:pPr>
            <w:r w:rsidRPr="00A9463A">
              <w:rPr>
                <w:sz w:val="16"/>
                <w:szCs w:val="16"/>
              </w:rPr>
              <w:t>35.554,06</w:t>
            </w:r>
          </w:p>
        </w:tc>
        <w:tc>
          <w:tcPr>
            <w:tcW w:w="586" w:type="pct"/>
            <w:vAlign w:val="center"/>
          </w:tcPr>
          <w:p w14:paraId="6167F02D" w14:textId="77777777" w:rsidR="007C5D29" w:rsidRPr="00A9463A" w:rsidRDefault="00A9463A">
            <w:pPr>
              <w:rPr>
                <w:sz w:val="16"/>
                <w:szCs w:val="16"/>
              </w:rPr>
            </w:pPr>
            <w:r w:rsidRPr="00A9463A">
              <w:rPr>
                <w:sz w:val="16"/>
                <w:szCs w:val="16"/>
              </w:rPr>
              <w:t>171.096,52</w:t>
            </w:r>
          </w:p>
        </w:tc>
        <w:tc>
          <w:tcPr>
            <w:tcW w:w="585" w:type="pct"/>
            <w:vAlign w:val="center"/>
          </w:tcPr>
          <w:p w14:paraId="6B75DF0A" w14:textId="77777777" w:rsidR="007C5D29" w:rsidRPr="00A9463A" w:rsidRDefault="00A9463A">
            <w:pPr>
              <w:rPr>
                <w:sz w:val="16"/>
                <w:szCs w:val="16"/>
              </w:rPr>
            </w:pPr>
            <w:r w:rsidRPr="00A9463A">
              <w:rPr>
                <w:sz w:val="16"/>
                <w:szCs w:val="16"/>
              </w:rPr>
              <w:t>50.000,00</w:t>
            </w:r>
          </w:p>
        </w:tc>
        <w:tc>
          <w:tcPr>
            <w:tcW w:w="502" w:type="pct"/>
            <w:vAlign w:val="center"/>
          </w:tcPr>
          <w:p w14:paraId="23FA63AB" w14:textId="77777777" w:rsidR="007C5D29" w:rsidRPr="00A9463A" w:rsidRDefault="00A9463A">
            <w:pPr>
              <w:rPr>
                <w:sz w:val="16"/>
                <w:szCs w:val="16"/>
              </w:rPr>
            </w:pPr>
            <w:r w:rsidRPr="00A9463A">
              <w:rPr>
                <w:sz w:val="16"/>
                <w:szCs w:val="16"/>
              </w:rPr>
              <w:t>7.683,85</w:t>
            </w:r>
          </w:p>
        </w:tc>
        <w:tc>
          <w:tcPr>
            <w:tcW w:w="586" w:type="pct"/>
            <w:vAlign w:val="center"/>
          </w:tcPr>
          <w:p w14:paraId="57CE534A" w14:textId="77777777" w:rsidR="007C5D29" w:rsidRPr="00A9463A" w:rsidRDefault="00A9463A">
            <w:pPr>
              <w:rPr>
                <w:sz w:val="16"/>
                <w:szCs w:val="16"/>
              </w:rPr>
            </w:pPr>
            <w:r w:rsidRPr="00A9463A">
              <w:rPr>
                <w:sz w:val="16"/>
                <w:szCs w:val="16"/>
              </w:rPr>
              <w:t>570.038,74</w:t>
            </w:r>
          </w:p>
        </w:tc>
        <w:tc>
          <w:tcPr>
            <w:tcW w:w="670" w:type="pct"/>
            <w:vAlign w:val="center"/>
          </w:tcPr>
          <w:p w14:paraId="215E1241" w14:textId="77777777" w:rsidR="007C5D29" w:rsidRPr="00A9463A" w:rsidRDefault="00A9463A">
            <w:pPr>
              <w:rPr>
                <w:sz w:val="16"/>
                <w:szCs w:val="16"/>
              </w:rPr>
            </w:pPr>
            <w:r w:rsidRPr="00A9463A">
              <w:rPr>
                <w:sz w:val="16"/>
                <w:szCs w:val="16"/>
              </w:rPr>
              <w:t>71.320,60</w:t>
            </w:r>
          </w:p>
        </w:tc>
      </w:tr>
      <w:tr w:rsidR="00A9463A" w14:paraId="7C8F2E49" w14:textId="77777777" w:rsidTr="00A9463A">
        <w:trPr>
          <w:trHeight w:val="288"/>
        </w:trPr>
        <w:tc>
          <w:tcPr>
            <w:tcW w:w="1235" w:type="pct"/>
            <w:vAlign w:val="center"/>
          </w:tcPr>
          <w:p w14:paraId="5E2B901C" w14:textId="77777777" w:rsidR="007C5D29" w:rsidRPr="00A9463A" w:rsidRDefault="00A9463A">
            <w:pPr>
              <w:rPr>
                <w:sz w:val="16"/>
                <w:szCs w:val="16"/>
              </w:rPr>
            </w:pPr>
            <w:r w:rsidRPr="00A9463A">
              <w:rPr>
                <w:sz w:val="16"/>
                <w:szCs w:val="16"/>
              </w:rPr>
              <w:t>RASHOD POSLOVANJA</w:t>
            </w:r>
          </w:p>
        </w:tc>
        <w:tc>
          <w:tcPr>
            <w:tcW w:w="328" w:type="pct"/>
            <w:vAlign w:val="center"/>
          </w:tcPr>
          <w:p w14:paraId="48445B69" w14:textId="77777777" w:rsidR="007C5D29" w:rsidRPr="00A9463A" w:rsidRDefault="00A9463A">
            <w:pPr>
              <w:rPr>
                <w:sz w:val="16"/>
                <w:szCs w:val="16"/>
              </w:rPr>
            </w:pPr>
            <w:r w:rsidRPr="00A9463A">
              <w:rPr>
                <w:sz w:val="16"/>
                <w:szCs w:val="16"/>
              </w:rPr>
              <w:t>319.674,63</w:t>
            </w:r>
          </w:p>
        </w:tc>
        <w:tc>
          <w:tcPr>
            <w:tcW w:w="508" w:type="pct"/>
            <w:vAlign w:val="center"/>
          </w:tcPr>
          <w:p w14:paraId="0173B1CD" w14:textId="77777777" w:rsidR="007C5D29" w:rsidRPr="00A9463A" w:rsidRDefault="00A9463A">
            <w:pPr>
              <w:rPr>
                <w:sz w:val="16"/>
                <w:szCs w:val="16"/>
              </w:rPr>
            </w:pPr>
            <w:r w:rsidRPr="00A9463A">
              <w:rPr>
                <w:sz w:val="16"/>
                <w:szCs w:val="16"/>
              </w:rPr>
              <w:t>36.568,55</w:t>
            </w:r>
          </w:p>
        </w:tc>
        <w:tc>
          <w:tcPr>
            <w:tcW w:w="586" w:type="pct"/>
            <w:vAlign w:val="center"/>
          </w:tcPr>
          <w:p w14:paraId="4E78B31A" w14:textId="77777777" w:rsidR="007C5D29" w:rsidRPr="00A9463A" w:rsidRDefault="00A9463A">
            <w:pPr>
              <w:rPr>
                <w:sz w:val="16"/>
                <w:szCs w:val="16"/>
              </w:rPr>
            </w:pPr>
            <w:r w:rsidRPr="00A9463A">
              <w:rPr>
                <w:sz w:val="16"/>
                <w:szCs w:val="16"/>
              </w:rPr>
              <w:t> </w:t>
            </w:r>
          </w:p>
        </w:tc>
        <w:tc>
          <w:tcPr>
            <w:tcW w:w="585" w:type="pct"/>
            <w:vAlign w:val="center"/>
          </w:tcPr>
          <w:p w14:paraId="077BDE0B" w14:textId="77777777" w:rsidR="007C5D29" w:rsidRPr="00A9463A" w:rsidRDefault="00A9463A">
            <w:pPr>
              <w:rPr>
                <w:sz w:val="16"/>
                <w:szCs w:val="16"/>
              </w:rPr>
            </w:pPr>
            <w:r w:rsidRPr="00A9463A">
              <w:rPr>
                <w:sz w:val="16"/>
                <w:szCs w:val="16"/>
              </w:rPr>
              <w:t> </w:t>
            </w:r>
          </w:p>
        </w:tc>
        <w:tc>
          <w:tcPr>
            <w:tcW w:w="502" w:type="pct"/>
            <w:vAlign w:val="center"/>
          </w:tcPr>
          <w:p w14:paraId="3601F2A9" w14:textId="77777777" w:rsidR="007C5D29" w:rsidRPr="00A9463A" w:rsidRDefault="00A9463A">
            <w:pPr>
              <w:rPr>
                <w:sz w:val="16"/>
                <w:szCs w:val="16"/>
              </w:rPr>
            </w:pPr>
            <w:r w:rsidRPr="00A9463A">
              <w:rPr>
                <w:sz w:val="16"/>
                <w:szCs w:val="16"/>
              </w:rPr>
              <w:t>5.683,51</w:t>
            </w:r>
          </w:p>
        </w:tc>
        <w:tc>
          <w:tcPr>
            <w:tcW w:w="586" w:type="pct"/>
            <w:vAlign w:val="center"/>
          </w:tcPr>
          <w:p w14:paraId="03C70CBF" w14:textId="77777777" w:rsidR="007C5D29" w:rsidRPr="00A9463A" w:rsidRDefault="00A9463A">
            <w:pPr>
              <w:rPr>
                <w:sz w:val="16"/>
                <w:szCs w:val="16"/>
              </w:rPr>
            </w:pPr>
            <w:r w:rsidRPr="00A9463A">
              <w:rPr>
                <w:sz w:val="16"/>
                <w:szCs w:val="16"/>
              </w:rPr>
              <w:t>261.857,08</w:t>
            </w:r>
          </w:p>
        </w:tc>
        <w:tc>
          <w:tcPr>
            <w:tcW w:w="670" w:type="pct"/>
            <w:vAlign w:val="center"/>
          </w:tcPr>
          <w:p w14:paraId="0640BC94" w14:textId="77777777" w:rsidR="007C5D29" w:rsidRPr="00A9463A" w:rsidRDefault="00A9463A">
            <w:pPr>
              <w:rPr>
                <w:sz w:val="16"/>
                <w:szCs w:val="16"/>
              </w:rPr>
            </w:pPr>
            <w:r w:rsidRPr="00A9463A">
              <w:rPr>
                <w:sz w:val="16"/>
                <w:szCs w:val="16"/>
              </w:rPr>
              <w:t> </w:t>
            </w:r>
          </w:p>
        </w:tc>
      </w:tr>
      <w:tr w:rsidR="00A9463A" w14:paraId="1FAF59A1" w14:textId="77777777" w:rsidTr="00A9463A">
        <w:trPr>
          <w:trHeight w:val="278"/>
        </w:trPr>
        <w:tc>
          <w:tcPr>
            <w:tcW w:w="1235" w:type="pct"/>
            <w:vAlign w:val="center"/>
          </w:tcPr>
          <w:p w14:paraId="1BEFB363" w14:textId="77777777" w:rsidR="007C5D29" w:rsidRPr="00A9463A" w:rsidRDefault="00A9463A">
            <w:pPr>
              <w:rPr>
                <w:sz w:val="16"/>
                <w:szCs w:val="16"/>
              </w:rPr>
            </w:pPr>
            <w:r w:rsidRPr="00A9463A">
              <w:rPr>
                <w:sz w:val="16"/>
                <w:szCs w:val="16"/>
              </w:rPr>
              <w:t xml:space="preserve">PRIHOD </w:t>
            </w:r>
            <w:proofErr w:type="spellStart"/>
            <w:r w:rsidRPr="00A9463A">
              <w:rPr>
                <w:sz w:val="16"/>
                <w:szCs w:val="16"/>
              </w:rPr>
              <w:t>NEF</w:t>
            </w:r>
            <w:proofErr w:type="spellEnd"/>
            <w:r w:rsidRPr="00A9463A">
              <w:rPr>
                <w:sz w:val="16"/>
                <w:szCs w:val="16"/>
              </w:rPr>
              <w:t>. IMOVINE</w:t>
            </w:r>
          </w:p>
        </w:tc>
        <w:tc>
          <w:tcPr>
            <w:tcW w:w="328" w:type="pct"/>
            <w:vAlign w:val="center"/>
          </w:tcPr>
          <w:p w14:paraId="55C1A306" w14:textId="77777777" w:rsidR="007C5D29" w:rsidRPr="00A9463A" w:rsidRDefault="00A9463A">
            <w:pPr>
              <w:rPr>
                <w:sz w:val="16"/>
                <w:szCs w:val="16"/>
              </w:rPr>
            </w:pPr>
            <w:r w:rsidRPr="00A9463A">
              <w:rPr>
                <w:sz w:val="16"/>
                <w:szCs w:val="16"/>
              </w:rPr>
              <w:t> </w:t>
            </w:r>
          </w:p>
        </w:tc>
        <w:tc>
          <w:tcPr>
            <w:tcW w:w="508" w:type="pct"/>
            <w:vAlign w:val="center"/>
          </w:tcPr>
          <w:p w14:paraId="0097F0A7" w14:textId="77777777" w:rsidR="007C5D29" w:rsidRPr="00A9463A" w:rsidRDefault="00A9463A">
            <w:pPr>
              <w:rPr>
                <w:sz w:val="16"/>
                <w:szCs w:val="16"/>
              </w:rPr>
            </w:pPr>
            <w:r w:rsidRPr="00A9463A">
              <w:rPr>
                <w:sz w:val="16"/>
                <w:szCs w:val="16"/>
              </w:rPr>
              <w:t> </w:t>
            </w:r>
          </w:p>
        </w:tc>
        <w:tc>
          <w:tcPr>
            <w:tcW w:w="586" w:type="pct"/>
            <w:vAlign w:val="center"/>
          </w:tcPr>
          <w:p w14:paraId="5FF7F77B" w14:textId="77777777" w:rsidR="007C5D29" w:rsidRPr="00A9463A" w:rsidRDefault="00A9463A">
            <w:pPr>
              <w:rPr>
                <w:sz w:val="16"/>
                <w:szCs w:val="16"/>
              </w:rPr>
            </w:pPr>
            <w:r w:rsidRPr="00A9463A">
              <w:rPr>
                <w:sz w:val="16"/>
                <w:szCs w:val="16"/>
              </w:rPr>
              <w:t> </w:t>
            </w:r>
          </w:p>
        </w:tc>
        <w:tc>
          <w:tcPr>
            <w:tcW w:w="585" w:type="pct"/>
            <w:vAlign w:val="center"/>
          </w:tcPr>
          <w:p w14:paraId="46DE0818" w14:textId="77777777" w:rsidR="007C5D29" w:rsidRPr="00A9463A" w:rsidRDefault="00A9463A">
            <w:pPr>
              <w:rPr>
                <w:sz w:val="16"/>
                <w:szCs w:val="16"/>
              </w:rPr>
            </w:pPr>
            <w:r w:rsidRPr="00A9463A">
              <w:rPr>
                <w:sz w:val="16"/>
                <w:szCs w:val="16"/>
              </w:rPr>
              <w:t> </w:t>
            </w:r>
          </w:p>
        </w:tc>
        <w:tc>
          <w:tcPr>
            <w:tcW w:w="502" w:type="pct"/>
            <w:vAlign w:val="center"/>
          </w:tcPr>
          <w:p w14:paraId="4EE960ED" w14:textId="77777777" w:rsidR="007C5D29" w:rsidRPr="00A9463A" w:rsidRDefault="00A9463A">
            <w:pPr>
              <w:rPr>
                <w:sz w:val="16"/>
                <w:szCs w:val="16"/>
              </w:rPr>
            </w:pPr>
            <w:r w:rsidRPr="00A9463A">
              <w:rPr>
                <w:sz w:val="16"/>
                <w:szCs w:val="16"/>
              </w:rPr>
              <w:t> </w:t>
            </w:r>
          </w:p>
        </w:tc>
        <w:tc>
          <w:tcPr>
            <w:tcW w:w="586" w:type="pct"/>
            <w:vAlign w:val="center"/>
          </w:tcPr>
          <w:p w14:paraId="6A3846A0" w14:textId="77777777" w:rsidR="007C5D29" w:rsidRPr="00A9463A" w:rsidRDefault="00A9463A">
            <w:pPr>
              <w:rPr>
                <w:sz w:val="16"/>
                <w:szCs w:val="16"/>
              </w:rPr>
            </w:pPr>
            <w:r w:rsidRPr="00A9463A">
              <w:rPr>
                <w:sz w:val="16"/>
                <w:szCs w:val="16"/>
              </w:rPr>
              <w:t> </w:t>
            </w:r>
          </w:p>
        </w:tc>
        <w:tc>
          <w:tcPr>
            <w:tcW w:w="670" w:type="pct"/>
            <w:vAlign w:val="center"/>
          </w:tcPr>
          <w:p w14:paraId="0BFA62DC" w14:textId="77777777" w:rsidR="007C5D29" w:rsidRPr="00A9463A" w:rsidRDefault="00A9463A">
            <w:pPr>
              <w:rPr>
                <w:sz w:val="16"/>
                <w:szCs w:val="16"/>
              </w:rPr>
            </w:pPr>
            <w:r w:rsidRPr="00A9463A">
              <w:rPr>
                <w:sz w:val="16"/>
                <w:szCs w:val="16"/>
              </w:rPr>
              <w:t>279.490,40</w:t>
            </w:r>
          </w:p>
        </w:tc>
      </w:tr>
      <w:tr w:rsidR="00A9463A" w14:paraId="479B6FD7" w14:textId="77777777" w:rsidTr="00A9463A">
        <w:trPr>
          <w:trHeight w:val="268"/>
        </w:trPr>
        <w:tc>
          <w:tcPr>
            <w:tcW w:w="1235" w:type="pct"/>
            <w:vAlign w:val="center"/>
          </w:tcPr>
          <w:p w14:paraId="250E48CF" w14:textId="77777777" w:rsidR="007C5D29" w:rsidRPr="00A9463A" w:rsidRDefault="00A9463A">
            <w:pPr>
              <w:rPr>
                <w:sz w:val="16"/>
                <w:szCs w:val="16"/>
              </w:rPr>
            </w:pPr>
            <w:r w:rsidRPr="00A9463A">
              <w:rPr>
                <w:sz w:val="16"/>
                <w:szCs w:val="16"/>
              </w:rPr>
              <w:t xml:space="preserve">RASHOD </w:t>
            </w:r>
            <w:proofErr w:type="spellStart"/>
            <w:r w:rsidRPr="00A9463A">
              <w:rPr>
                <w:sz w:val="16"/>
                <w:szCs w:val="16"/>
              </w:rPr>
              <w:t>NEF</w:t>
            </w:r>
            <w:proofErr w:type="spellEnd"/>
            <w:r w:rsidRPr="00A9463A">
              <w:rPr>
                <w:sz w:val="16"/>
                <w:szCs w:val="16"/>
              </w:rPr>
              <w:t xml:space="preserve"> IMOVINE</w:t>
            </w:r>
          </w:p>
        </w:tc>
        <w:tc>
          <w:tcPr>
            <w:tcW w:w="328" w:type="pct"/>
            <w:vAlign w:val="center"/>
          </w:tcPr>
          <w:p w14:paraId="300C0671" w14:textId="77777777" w:rsidR="007C5D29" w:rsidRPr="00A9463A" w:rsidRDefault="00A9463A">
            <w:pPr>
              <w:rPr>
                <w:sz w:val="16"/>
                <w:szCs w:val="16"/>
              </w:rPr>
            </w:pPr>
            <w:r w:rsidRPr="00A9463A">
              <w:rPr>
                <w:sz w:val="16"/>
                <w:szCs w:val="16"/>
              </w:rPr>
              <w:t>920.421,41</w:t>
            </w:r>
          </w:p>
        </w:tc>
        <w:tc>
          <w:tcPr>
            <w:tcW w:w="508" w:type="pct"/>
            <w:vAlign w:val="center"/>
          </w:tcPr>
          <w:p w14:paraId="585FDD57" w14:textId="77777777" w:rsidR="007C5D29" w:rsidRPr="00A9463A" w:rsidRDefault="00A9463A">
            <w:pPr>
              <w:rPr>
                <w:sz w:val="16"/>
                <w:szCs w:val="16"/>
              </w:rPr>
            </w:pPr>
            <w:r w:rsidRPr="00A9463A">
              <w:rPr>
                <w:sz w:val="16"/>
                <w:szCs w:val="16"/>
              </w:rPr>
              <w:t> </w:t>
            </w:r>
          </w:p>
        </w:tc>
        <w:tc>
          <w:tcPr>
            <w:tcW w:w="586" w:type="pct"/>
            <w:vAlign w:val="center"/>
          </w:tcPr>
          <w:p w14:paraId="70BB2699" w14:textId="77777777" w:rsidR="007C5D29" w:rsidRPr="00A9463A" w:rsidRDefault="00A9463A">
            <w:pPr>
              <w:rPr>
                <w:sz w:val="16"/>
                <w:szCs w:val="16"/>
              </w:rPr>
            </w:pPr>
            <w:r w:rsidRPr="00A9463A">
              <w:rPr>
                <w:sz w:val="16"/>
                <w:szCs w:val="16"/>
              </w:rPr>
              <w:t>171.096,52</w:t>
            </w:r>
          </w:p>
        </w:tc>
        <w:tc>
          <w:tcPr>
            <w:tcW w:w="585" w:type="pct"/>
            <w:vAlign w:val="center"/>
          </w:tcPr>
          <w:p w14:paraId="56C4AD2C" w14:textId="77777777" w:rsidR="007C5D29" w:rsidRPr="00A9463A" w:rsidRDefault="00A9463A">
            <w:pPr>
              <w:rPr>
                <w:sz w:val="16"/>
                <w:szCs w:val="16"/>
              </w:rPr>
            </w:pPr>
            <w:r w:rsidRPr="00A9463A">
              <w:rPr>
                <w:sz w:val="16"/>
                <w:szCs w:val="16"/>
              </w:rPr>
              <w:t>50.000,00</w:t>
            </w:r>
          </w:p>
        </w:tc>
        <w:tc>
          <w:tcPr>
            <w:tcW w:w="502" w:type="pct"/>
            <w:vAlign w:val="center"/>
          </w:tcPr>
          <w:p w14:paraId="523458E9" w14:textId="77777777" w:rsidR="007C5D29" w:rsidRPr="00A9463A" w:rsidRDefault="00A9463A">
            <w:pPr>
              <w:rPr>
                <w:sz w:val="16"/>
                <w:szCs w:val="16"/>
              </w:rPr>
            </w:pPr>
            <w:r w:rsidRPr="00A9463A">
              <w:rPr>
                <w:sz w:val="16"/>
                <w:szCs w:val="16"/>
              </w:rPr>
              <w:t> </w:t>
            </w:r>
          </w:p>
        </w:tc>
        <w:tc>
          <w:tcPr>
            <w:tcW w:w="586" w:type="pct"/>
            <w:vAlign w:val="center"/>
          </w:tcPr>
          <w:p w14:paraId="3D43BA03" w14:textId="77777777" w:rsidR="007C5D29" w:rsidRPr="00A9463A" w:rsidRDefault="00A9463A">
            <w:pPr>
              <w:rPr>
                <w:sz w:val="16"/>
                <w:szCs w:val="16"/>
              </w:rPr>
            </w:pPr>
            <w:r w:rsidRPr="00A9463A">
              <w:rPr>
                <w:sz w:val="16"/>
                <w:szCs w:val="16"/>
              </w:rPr>
              <w:t>141.421,54</w:t>
            </w:r>
          </w:p>
        </w:tc>
        <w:tc>
          <w:tcPr>
            <w:tcW w:w="670" w:type="pct"/>
            <w:vAlign w:val="center"/>
          </w:tcPr>
          <w:p w14:paraId="6A43D6FC" w14:textId="77777777" w:rsidR="007C5D29" w:rsidRPr="00A9463A" w:rsidRDefault="00A9463A">
            <w:pPr>
              <w:rPr>
                <w:sz w:val="16"/>
                <w:szCs w:val="16"/>
              </w:rPr>
            </w:pPr>
            <w:r w:rsidRPr="00A9463A">
              <w:rPr>
                <w:sz w:val="16"/>
                <w:szCs w:val="16"/>
              </w:rPr>
              <w:t>335.296,99</w:t>
            </w:r>
          </w:p>
        </w:tc>
      </w:tr>
      <w:tr w:rsidR="00A9463A" w14:paraId="6B8ECC73" w14:textId="77777777" w:rsidTr="00A9463A">
        <w:trPr>
          <w:trHeight w:val="414"/>
        </w:trPr>
        <w:tc>
          <w:tcPr>
            <w:tcW w:w="1235" w:type="pct"/>
            <w:vAlign w:val="center"/>
          </w:tcPr>
          <w:p w14:paraId="311E7355" w14:textId="77777777" w:rsidR="007C5D29" w:rsidRPr="00A9463A" w:rsidRDefault="00A9463A">
            <w:pPr>
              <w:rPr>
                <w:b/>
                <w:bCs/>
                <w:sz w:val="16"/>
                <w:szCs w:val="16"/>
              </w:rPr>
            </w:pPr>
            <w:r w:rsidRPr="00A9463A">
              <w:rPr>
                <w:b/>
                <w:bCs/>
                <w:sz w:val="16"/>
                <w:szCs w:val="16"/>
              </w:rPr>
              <w:t xml:space="preserve">VIŠAK </w:t>
            </w:r>
            <w:proofErr w:type="spellStart"/>
            <w:r w:rsidRPr="00A9463A">
              <w:rPr>
                <w:b/>
                <w:bCs/>
                <w:sz w:val="16"/>
                <w:szCs w:val="16"/>
              </w:rPr>
              <w:t>PRIH</w:t>
            </w:r>
            <w:proofErr w:type="spellEnd"/>
            <w:r w:rsidRPr="00A9463A">
              <w:rPr>
                <w:b/>
                <w:bCs/>
                <w:sz w:val="16"/>
                <w:szCs w:val="16"/>
              </w:rPr>
              <w:t xml:space="preserve"> </w:t>
            </w:r>
            <w:proofErr w:type="spellStart"/>
            <w:r w:rsidRPr="00A9463A">
              <w:rPr>
                <w:b/>
                <w:bCs/>
                <w:sz w:val="16"/>
                <w:szCs w:val="16"/>
              </w:rPr>
              <w:t>POSLOV</w:t>
            </w:r>
            <w:proofErr w:type="spellEnd"/>
          </w:p>
        </w:tc>
        <w:tc>
          <w:tcPr>
            <w:tcW w:w="328" w:type="pct"/>
            <w:vAlign w:val="center"/>
          </w:tcPr>
          <w:p w14:paraId="783B50C1" w14:textId="77777777" w:rsidR="007C5D29" w:rsidRPr="00A9463A" w:rsidRDefault="00A9463A">
            <w:pPr>
              <w:rPr>
                <w:sz w:val="16"/>
                <w:szCs w:val="16"/>
              </w:rPr>
            </w:pPr>
            <w:r w:rsidRPr="00A9463A">
              <w:rPr>
                <w:sz w:val="16"/>
                <w:szCs w:val="16"/>
              </w:rPr>
              <w:t>706.617,71</w:t>
            </w:r>
          </w:p>
        </w:tc>
        <w:tc>
          <w:tcPr>
            <w:tcW w:w="508" w:type="pct"/>
            <w:vAlign w:val="center"/>
          </w:tcPr>
          <w:p w14:paraId="1695E3E4" w14:textId="77777777" w:rsidR="007C5D29" w:rsidRPr="00A9463A" w:rsidRDefault="00A9463A">
            <w:pPr>
              <w:rPr>
                <w:sz w:val="16"/>
                <w:szCs w:val="16"/>
              </w:rPr>
            </w:pPr>
            <w:r w:rsidRPr="00A9463A">
              <w:rPr>
                <w:sz w:val="16"/>
                <w:szCs w:val="16"/>
              </w:rPr>
              <w:t> </w:t>
            </w:r>
          </w:p>
        </w:tc>
        <w:tc>
          <w:tcPr>
            <w:tcW w:w="586" w:type="pct"/>
            <w:vAlign w:val="center"/>
          </w:tcPr>
          <w:p w14:paraId="0F546B56" w14:textId="77777777" w:rsidR="007C5D29" w:rsidRPr="00A9463A" w:rsidRDefault="00A9463A">
            <w:pPr>
              <w:rPr>
                <w:sz w:val="16"/>
                <w:szCs w:val="16"/>
              </w:rPr>
            </w:pPr>
            <w:r w:rsidRPr="00A9463A">
              <w:rPr>
                <w:sz w:val="16"/>
                <w:szCs w:val="16"/>
              </w:rPr>
              <w:t>171.096,52</w:t>
            </w:r>
          </w:p>
        </w:tc>
        <w:tc>
          <w:tcPr>
            <w:tcW w:w="585" w:type="pct"/>
            <w:vAlign w:val="center"/>
          </w:tcPr>
          <w:p w14:paraId="34A67CFD" w14:textId="77777777" w:rsidR="007C5D29" w:rsidRPr="00A9463A" w:rsidRDefault="00A9463A">
            <w:pPr>
              <w:rPr>
                <w:sz w:val="16"/>
                <w:szCs w:val="16"/>
              </w:rPr>
            </w:pPr>
            <w:r w:rsidRPr="00A9463A">
              <w:rPr>
                <w:sz w:val="16"/>
                <w:szCs w:val="16"/>
              </w:rPr>
              <w:t>50.000,00</w:t>
            </w:r>
          </w:p>
        </w:tc>
        <w:tc>
          <w:tcPr>
            <w:tcW w:w="502" w:type="pct"/>
            <w:vAlign w:val="center"/>
          </w:tcPr>
          <w:p w14:paraId="7215B8F8" w14:textId="77777777" w:rsidR="007C5D29" w:rsidRPr="00A9463A" w:rsidRDefault="00A9463A">
            <w:pPr>
              <w:rPr>
                <w:sz w:val="16"/>
                <w:szCs w:val="16"/>
              </w:rPr>
            </w:pPr>
            <w:r w:rsidRPr="00A9463A">
              <w:rPr>
                <w:sz w:val="16"/>
                <w:szCs w:val="16"/>
              </w:rPr>
              <w:t>2.000,34</w:t>
            </w:r>
          </w:p>
        </w:tc>
        <w:tc>
          <w:tcPr>
            <w:tcW w:w="586" w:type="pct"/>
            <w:vAlign w:val="center"/>
          </w:tcPr>
          <w:p w14:paraId="4665F1BD" w14:textId="77777777" w:rsidR="007C5D29" w:rsidRPr="00A9463A" w:rsidRDefault="00A9463A">
            <w:pPr>
              <w:rPr>
                <w:sz w:val="16"/>
                <w:szCs w:val="16"/>
              </w:rPr>
            </w:pPr>
            <w:r w:rsidRPr="00A9463A">
              <w:rPr>
                <w:sz w:val="16"/>
                <w:szCs w:val="16"/>
              </w:rPr>
              <w:t>308.181,66</w:t>
            </w:r>
          </w:p>
        </w:tc>
        <w:tc>
          <w:tcPr>
            <w:tcW w:w="670" w:type="pct"/>
            <w:vAlign w:val="center"/>
          </w:tcPr>
          <w:p w14:paraId="4FF7AC03" w14:textId="77777777" w:rsidR="007C5D29" w:rsidRPr="00A9463A" w:rsidRDefault="00A9463A">
            <w:pPr>
              <w:rPr>
                <w:sz w:val="16"/>
                <w:szCs w:val="16"/>
              </w:rPr>
            </w:pPr>
            <w:r w:rsidRPr="00A9463A">
              <w:rPr>
                <w:sz w:val="16"/>
                <w:szCs w:val="16"/>
              </w:rPr>
              <w:t>71.320,60</w:t>
            </w:r>
          </w:p>
        </w:tc>
      </w:tr>
      <w:tr w:rsidR="00A9463A" w14:paraId="23768EA4" w14:textId="77777777" w:rsidTr="00A9463A">
        <w:trPr>
          <w:trHeight w:val="278"/>
        </w:trPr>
        <w:tc>
          <w:tcPr>
            <w:tcW w:w="1235" w:type="pct"/>
            <w:vAlign w:val="center"/>
          </w:tcPr>
          <w:p w14:paraId="60463E0E" w14:textId="774BAC8D" w:rsidR="007C5D29" w:rsidRPr="00A9463A" w:rsidRDefault="00A9463A">
            <w:pPr>
              <w:rPr>
                <w:b/>
                <w:bCs/>
                <w:sz w:val="16"/>
                <w:szCs w:val="16"/>
              </w:rPr>
            </w:pPr>
            <w:r w:rsidRPr="00A9463A">
              <w:rPr>
                <w:b/>
                <w:bCs/>
                <w:sz w:val="16"/>
                <w:szCs w:val="16"/>
              </w:rPr>
              <w:t xml:space="preserve">MANJAK </w:t>
            </w:r>
            <w:proofErr w:type="spellStart"/>
            <w:r w:rsidRPr="00A9463A">
              <w:rPr>
                <w:b/>
                <w:bCs/>
                <w:sz w:val="16"/>
                <w:szCs w:val="16"/>
              </w:rPr>
              <w:t>PRIH</w:t>
            </w:r>
            <w:proofErr w:type="spellEnd"/>
            <w:r>
              <w:rPr>
                <w:b/>
                <w:bCs/>
                <w:sz w:val="16"/>
                <w:szCs w:val="16"/>
              </w:rPr>
              <w:t xml:space="preserve"> </w:t>
            </w:r>
            <w:proofErr w:type="spellStart"/>
            <w:r w:rsidRPr="00A9463A">
              <w:rPr>
                <w:b/>
                <w:bCs/>
                <w:sz w:val="16"/>
                <w:szCs w:val="16"/>
              </w:rPr>
              <w:t>POSLO</w:t>
            </w:r>
            <w:proofErr w:type="spellEnd"/>
          </w:p>
        </w:tc>
        <w:tc>
          <w:tcPr>
            <w:tcW w:w="328" w:type="pct"/>
            <w:vAlign w:val="center"/>
          </w:tcPr>
          <w:p w14:paraId="01C776AE" w14:textId="77777777" w:rsidR="007C5D29" w:rsidRPr="00A9463A" w:rsidRDefault="00A9463A">
            <w:pPr>
              <w:rPr>
                <w:sz w:val="16"/>
                <w:szCs w:val="16"/>
              </w:rPr>
            </w:pPr>
            <w:r w:rsidRPr="00A9463A">
              <w:rPr>
                <w:sz w:val="16"/>
                <w:szCs w:val="16"/>
              </w:rPr>
              <w:t> </w:t>
            </w:r>
          </w:p>
        </w:tc>
        <w:tc>
          <w:tcPr>
            <w:tcW w:w="508" w:type="pct"/>
            <w:vAlign w:val="center"/>
          </w:tcPr>
          <w:p w14:paraId="5C20B1A6" w14:textId="77777777" w:rsidR="007C5D29" w:rsidRPr="00A9463A" w:rsidRDefault="00A9463A">
            <w:pPr>
              <w:rPr>
                <w:sz w:val="16"/>
                <w:szCs w:val="16"/>
              </w:rPr>
            </w:pPr>
            <w:r w:rsidRPr="00A9463A">
              <w:rPr>
                <w:sz w:val="16"/>
                <w:szCs w:val="16"/>
              </w:rPr>
              <w:t>-1.014,49</w:t>
            </w:r>
          </w:p>
        </w:tc>
        <w:tc>
          <w:tcPr>
            <w:tcW w:w="586" w:type="pct"/>
            <w:vAlign w:val="center"/>
          </w:tcPr>
          <w:p w14:paraId="6D4C0F3C" w14:textId="77777777" w:rsidR="007C5D29" w:rsidRPr="00A9463A" w:rsidRDefault="00A9463A">
            <w:pPr>
              <w:rPr>
                <w:sz w:val="16"/>
                <w:szCs w:val="16"/>
              </w:rPr>
            </w:pPr>
            <w:r w:rsidRPr="00A9463A">
              <w:rPr>
                <w:sz w:val="16"/>
                <w:szCs w:val="16"/>
              </w:rPr>
              <w:t> </w:t>
            </w:r>
          </w:p>
        </w:tc>
        <w:tc>
          <w:tcPr>
            <w:tcW w:w="585" w:type="pct"/>
            <w:vAlign w:val="center"/>
          </w:tcPr>
          <w:p w14:paraId="19F17127" w14:textId="77777777" w:rsidR="007C5D29" w:rsidRPr="00A9463A" w:rsidRDefault="00A9463A">
            <w:pPr>
              <w:rPr>
                <w:sz w:val="16"/>
                <w:szCs w:val="16"/>
              </w:rPr>
            </w:pPr>
            <w:r w:rsidRPr="00A9463A">
              <w:rPr>
                <w:sz w:val="16"/>
                <w:szCs w:val="16"/>
              </w:rPr>
              <w:t> </w:t>
            </w:r>
          </w:p>
        </w:tc>
        <w:tc>
          <w:tcPr>
            <w:tcW w:w="502" w:type="pct"/>
            <w:vAlign w:val="center"/>
          </w:tcPr>
          <w:p w14:paraId="5E8E9E7D" w14:textId="77777777" w:rsidR="007C5D29" w:rsidRPr="00A9463A" w:rsidRDefault="00A9463A">
            <w:pPr>
              <w:rPr>
                <w:sz w:val="16"/>
                <w:szCs w:val="16"/>
              </w:rPr>
            </w:pPr>
            <w:r w:rsidRPr="00A9463A">
              <w:rPr>
                <w:sz w:val="16"/>
                <w:szCs w:val="16"/>
              </w:rPr>
              <w:t> </w:t>
            </w:r>
          </w:p>
        </w:tc>
        <w:tc>
          <w:tcPr>
            <w:tcW w:w="586" w:type="pct"/>
            <w:vAlign w:val="center"/>
          </w:tcPr>
          <w:p w14:paraId="2062F987" w14:textId="77777777" w:rsidR="007C5D29" w:rsidRPr="00A9463A" w:rsidRDefault="00A9463A">
            <w:pPr>
              <w:rPr>
                <w:sz w:val="16"/>
                <w:szCs w:val="16"/>
              </w:rPr>
            </w:pPr>
            <w:r w:rsidRPr="00A9463A">
              <w:rPr>
                <w:sz w:val="16"/>
                <w:szCs w:val="16"/>
              </w:rPr>
              <w:t> </w:t>
            </w:r>
          </w:p>
        </w:tc>
        <w:tc>
          <w:tcPr>
            <w:tcW w:w="670" w:type="pct"/>
            <w:vAlign w:val="center"/>
          </w:tcPr>
          <w:p w14:paraId="100B7AE6" w14:textId="77777777" w:rsidR="007C5D29" w:rsidRPr="00A9463A" w:rsidRDefault="00A9463A">
            <w:pPr>
              <w:rPr>
                <w:sz w:val="16"/>
                <w:szCs w:val="16"/>
              </w:rPr>
            </w:pPr>
            <w:r w:rsidRPr="00A9463A">
              <w:rPr>
                <w:sz w:val="16"/>
                <w:szCs w:val="16"/>
              </w:rPr>
              <w:t> </w:t>
            </w:r>
          </w:p>
        </w:tc>
      </w:tr>
      <w:tr w:rsidR="00A9463A" w14:paraId="3152D54E" w14:textId="77777777" w:rsidTr="00A9463A">
        <w:trPr>
          <w:trHeight w:val="268"/>
        </w:trPr>
        <w:tc>
          <w:tcPr>
            <w:tcW w:w="1235" w:type="pct"/>
            <w:vAlign w:val="center"/>
          </w:tcPr>
          <w:p w14:paraId="164AEF30" w14:textId="77777777" w:rsidR="007C5D29" w:rsidRPr="00A9463A" w:rsidRDefault="00A9463A">
            <w:pPr>
              <w:rPr>
                <w:b/>
                <w:bCs/>
                <w:sz w:val="16"/>
                <w:szCs w:val="16"/>
              </w:rPr>
            </w:pPr>
            <w:r w:rsidRPr="00A9463A">
              <w:rPr>
                <w:b/>
                <w:bCs/>
                <w:sz w:val="16"/>
                <w:szCs w:val="16"/>
              </w:rPr>
              <w:t xml:space="preserve">VIŠAK </w:t>
            </w:r>
            <w:proofErr w:type="spellStart"/>
            <w:r w:rsidRPr="00A9463A">
              <w:rPr>
                <w:b/>
                <w:bCs/>
                <w:sz w:val="16"/>
                <w:szCs w:val="16"/>
              </w:rPr>
              <w:t>NEF</w:t>
            </w:r>
            <w:proofErr w:type="spellEnd"/>
            <w:r w:rsidRPr="00A9463A">
              <w:rPr>
                <w:b/>
                <w:bCs/>
                <w:sz w:val="16"/>
                <w:szCs w:val="16"/>
              </w:rPr>
              <w:t>. IMOVINE</w:t>
            </w:r>
          </w:p>
        </w:tc>
        <w:tc>
          <w:tcPr>
            <w:tcW w:w="328" w:type="pct"/>
            <w:vAlign w:val="center"/>
          </w:tcPr>
          <w:p w14:paraId="53C6D476" w14:textId="77777777" w:rsidR="007C5D29" w:rsidRPr="00A9463A" w:rsidRDefault="00A9463A">
            <w:pPr>
              <w:rPr>
                <w:sz w:val="16"/>
                <w:szCs w:val="16"/>
              </w:rPr>
            </w:pPr>
            <w:r w:rsidRPr="00A9463A">
              <w:rPr>
                <w:sz w:val="16"/>
                <w:szCs w:val="16"/>
              </w:rPr>
              <w:t> </w:t>
            </w:r>
          </w:p>
        </w:tc>
        <w:tc>
          <w:tcPr>
            <w:tcW w:w="508" w:type="pct"/>
            <w:vAlign w:val="center"/>
          </w:tcPr>
          <w:p w14:paraId="0DD18C69" w14:textId="77777777" w:rsidR="007C5D29" w:rsidRPr="00A9463A" w:rsidRDefault="00A9463A">
            <w:pPr>
              <w:rPr>
                <w:sz w:val="16"/>
                <w:szCs w:val="16"/>
              </w:rPr>
            </w:pPr>
            <w:r w:rsidRPr="00A9463A">
              <w:rPr>
                <w:sz w:val="16"/>
                <w:szCs w:val="16"/>
              </w:rPr>
              <w:t> </w:t>
            </w:r>
          </w:p>
        </w:tc>
        <w:tc>
          <w:tcPr>
            <w:tcW w:w="586" w:type="pct"/>
            <w:vAlign w:val="center"/>
          </w:tcPr>
          <w:p w14:paraId="3B044DF2" w14:textId="77777777" w:rsidR="007C5D29" w:rsidRPr="00A9463A" w:rsidRDefault="00A9463A">
            <w:pPr>
              <w:rPr>
                <w:sz w:val="16"/>
                <w:szCs w:val="16"/>
              </w:rPr>
            </w:pPr>
            <w:r w:rsidRPr="00A9463A">
              <w:rPr>
                <w:sz w:val="16"/>
                <w:szCs w:val="16"/>
              </w:rPr>
              <w:t> </w:t>
            </w:r>
          </w:p>
        </w:tc>
        <w:tc>
          <w:tcPr>
            <w:tcW w:w="585" w:type="pct"/>
            <w:vAlign w:val="center"/>
          </w:tcPr>
          <w:p w14:paraId="2F2F006D" w14:textId="77777777" w:rsidR="007C5D29" w:rsidRPr="00A9463A" w:rsidRDefault="00A9463A">
            <w:pPr>
              <w:rPr>
                <w:sz w:val="16"/>
                <w:szCs w:val="16"/>
              </w:rPr>
            </w:pPr>
            <w:r w:rsidRPr="00A9463A">
              <w:rPr>
                <w:sz w:val="16"/>
                <w:szCs w:val="16"/>
              </w:rPr>
              <w:t> </w:t>
            </w:r>
          </w:p>
        </w:tc>
        <w:tc>
          <w:tcPr>
            <w:tcW w:w="502" w:type="pct"/>
            <w:vAlign w:val="center"/>
          </w:tcPr>
          <w:p w14:paraId="39302253" w14:textId="77777777" w:rsidR="007C5D29" w:rsidRPr="00A9463A" w:rsidRDefault="00A9463A">
            <w:pPr>
              <w:rPr>
                <w:sz w:val="16"/>
                <w:szCs w:val="16"/>
              </w:rPr>
            </w:pPr>
            <w:r w:rsidRPr="00A9463A">
              <w:rPr>
                <w:sz w:val="16"/>
                <w:szCs w:val="16"/>
              </w:rPr>
              <w:t> </w:t>
            </w:r>
          </w:p>
        </w:tc>
        <w:tc>
          <w:tcPr>
            <w:tcW w:w="586" w:type="pct"/>
            <w:vAlign w:val="center"/>
          </w:tcPr>
          <w:p w14:paraId="06A1A3FF" w14:textId="77777777" w:rsidR="007C5D29" w:rsidRPr="00A9463A" w:rsidRDefault="00A9463A">
            <w:pPr>
              <w:rPr>
                <w:sz w:val="16"/>
                <w:szCs w:val="16"/>
              </w:rPr>
            </w:pPr>
            <w:r w:rsidRPr="00A9463A">
              <w:rPr>
                <w:sz w:val="16"/>
                <w:szCs w:val="16"/>
              </w:rPr>
              <w:t> </w:t>
            </w:r>
          </w:p>
        </w:tc>
        <w:tc>
          <w:tcPr>
            <w:tcW w:w="670" w:type="pct"/>
            <w:vAlign w:val="center"/>
          </w:tcPr>
          <w:p w14:paraId="021D18F3" w14:textId="77777777" w:rsidR="007C5D29" w:rsidRPr="00A9463A" w:rsidRDefault="00A9463A">
            <w:pPr>
              <w:rPr>
                <w:sz w:val="16"/>
                <w:szCs w:val="16"/>
              </w:rPr>
            </w:pPr>
            <w:r w:rsidRPr="00A9463A">
              <w:rPr>
                <w:sz w:val="16"/>
                <w:szCs w:val="16"/>
              </w:rPr>
              <w:t> </w:t>
            </w:r>
          </w:p>
        </w:tc>
      </w:tr>
      <w:tr w:rsidR="00A9463A" w14:paraId="4CFB4B76" w14:textId="77777777" w:rsidTr="00A9463A">
        <w:trPr>
          <w:trHeight w:val="272"/>
        </w:trPr>
        <w:tc>
          <w:tcPr>
            <w:tcW w:w="1235" w:type="pct"/>
            <w:vAlign w:val="center"/>
          </w:tcPr>
          <w:p w14:paraId="51CDDF90" w14:textId="77777777" w:rsidR="007C5D29" w:rsidRPr="00A9463A" w:rsidRDefault="00A9463A">
            <w:pPr>
              <w:rPr>
                <w:b/>
                <w:bCs/>
                <w:sz w:val="16"/>
                <w:szCs w:val="16"/>
              </w:rPr>
            </w:pPr>
            <w:r w:rsidRPr="00A9463A">
              <w:rPr>
                <w:b/>
                <w:bCs/>
                <w:sz w:val="16"/>
                <w:szCs w:val="16"/>
              </w:rPr>
              <w:t xml:space="preserve">MANJAK </w:t>
            </w:r>
            <w:proofErr w:type="spellStart"/>
            <w:r w:rsidRPr="00A9463A">
              <w:rPr>
                <w:b/>
                <w:bCs/>
                <w:sz w:val="16"/>
                <w:szCs w:val="16"/>
              </w:rPr>
              <w:t>NEF</w:t>
            </w:r>
            <w:proofErr w:type="spellEnd"/>
            <w:r w:rsidRPr="00A9463A">
              <w:rPr>
                <w:b/>
                <w:bCs/>
                <w:sz w:val="16"/>
                <w:szCs w:val="16"/>
              </w:rPr>
              <w:t xml:space="preserve"> IMOVINE</w:t>
            </w:r>
          </w:p>
        </w:tc>
        <w:tc>
          <w:tcPr>
            <w:tcW w:w="328" w:type="pct"/>
            <w:vAlign w:val="center"/>
          </w:tcPr>
          <w:p w14:paraId="62067A11" w14:textId="77777777" w:rsidR="007C5D29" w:rsidRPr="00A9463A" w:rsidRDefault="00A9463A">
            <w:pPr>
              <w:rPr>
                <w:sz w:val="16"/>
                <w:szCs w:val="16"/>
              </w:rPr>
            </w:pPr>
            <w:r w:rsidRPr="00A9463A">
              <w:rPr>
                <w:sz w:val="16"/>
                <w:szCs w:val="16"/>
              </w:rPr>
              <w:t>920.421,41</w:t>
            </w:r>
          </w:p>
        </w:tc>
        <w:tc>
          <w:tcPr>
            <w:tcW w:w="508" w:type="pct"/>
            <w:vAlign w:val="center"/>
          </w:tcPr>
          <w:p w14:paraId="2D85C774" w14:textId="77777777" w:rsidR="007C5D29" w:rsidRPr="00A9463A" w:rsidRDefault="00A9463A">
            <w:pPr>
              <w:rPr>
                <w:sz w:val="16"/>
                <w:szCs w:val="16"/>
              </w:rPr>
            </w:pPr>
            <w:r w:rsidRPr="00A9463A">
              <w:rPr>
                <w:sz w:val="16"/>
                <w:szCs w:val="16"/>
              </w:rPr>
              <w:t> </w:t>
            </w:r>
          </w:p>
        </w:tc>
        <w:tc>
          <w:tcPr>
            <w:tcW w:w="586" w:type="pct"/>
            <w:vAlign w:val="center"/>
          </w:tcPr>
          <w:p w14:paraId="0041687D" w14:textId="77777777" w:rsidR="007C5D29" w:rsidRPr="00A9463A" w:rsidRDefault="00A9463A">
            <w:pPr>
              <w:rPr>
                <w:sz w:val="16"/>
                <w:szCs w:val="16"/>
              </w:rPr>
            </w:pPr>
            <w:r w:rsidRPr="00A9463A">
              <w:rPr>
                <w:sz w:val="16"/>
                <w:szCs w:val="16"/>
              </w:rPr>
              <w:t>171.096,52</w:t>
            </w:r>
          </w:p>
        </w:tc>
        <w:tc>
          <w:tcPr>
            <w:tcW w:w="585" w:type="pct"/>
            <w:vAlign w:val="center"/>
          </w:tcPr>
          <w:p w14:paraId="6852317D" w14:textId="77777777" w:rsidR="007C5D29" w:rsidRPr="00A9463A" w:rsidRDefault="00A9463A">
            <w:pPr>
              <w:rPr>
                <w:sz w:val="16"/>
                <w:szCs w:val="16"/>
              </w:rPr>
            </w:pPr>
            <w:r w:rsidRPr="00A9463A">
              <w:rPr>
                <w:sz w:val="16"/>
                <w:szCs w:val="16"/>
              </w:rPr>
              <w:t>50.000,00</w:t>
            </w:r>
          </w:p>
        </w:tc>
        <w:tc>
          <w:tcPr>
            <w:tcW w:w="502" w:type="pct"/>
            <w:vAlign w:val="center"/>
          </w:tcPr>
          <w:p w14:paraId="34417D73" w14:textId="77777777" w:rsidR="007C5D29" w:rsidRPr="00A9463A" w:rsidRDefault="00A9463A">
            <w:pPr>
              <w:rPr>
                <w:sz w:val="16"/>
                <w:szCs w:val="16"/>
              </w:rPr>
            </w:pPr>
            <w:r w:rsidRPr="00A9463A">
              <w:rPr>
                <w:sz w:val="16"/>
                <w:szCs w:val="16"/>
              </w:rPr>
              <w:t> </w:t>
            </w:r>
          </w:p>
        </w:tc>
        <w:tc>
          <w:tcPr>
            <w:tcW w:w="586" w:type="pct"/>
            <w:vAlign w:val="center"/>
          </w:tcPr>
          <w:p w14:paraId="4F76825D" w14:textId="77777777" w:rsidR="007C5D29" w:rsidRPr="00A9463A" w:rsidRDefault="00A9463A">
            <w:pPr>
              <w:rPr>
                <w:sz w:val="16"/>
                <w:szCs w:val="16"/>
              </w:rPr>
            </w:pPr>
            <w:r w:rsidRPr="00A9463A">
              <w:rPr>
                <w:sz w:val="16"/>
                <w:szCs w:val="16"/>
              </w:rPr>
              <w:t>141.421,54</w:t>
            </w:r>
          </w:p>
        </w:tc>
        <w:tc>
          <w:tcPr>
            <w:tcW w:w="670" w:type="pct"/>
            <w:vAlign w:val="center"/>
          </w:tcPr>
          <w:p w14:paraId="1073FE9B" w14:textId="77777777" w:rsidR="007C5D29" w:rsidRPr="00A9463A" w:rsidRDefault="00A9463A">
            <w:pPr>
              <w:rPr>
                <w:sz w:val="16"/>
                <w:szCs w:val="16"/>
              </w:rPr>
            </w:pPr>
            <w:r w:rsidRPr="00A9463A">
              <w:rPr>
                <w:sz w:val="16"/>
                <w:szCs w:val="16"/>
              </w:rPr>
              <w:t>55.806,59</w:t>
            </w:r>
          </w:p>
        </w:tc>
      </w:tr>
      <w:tr w:rsidR="00A9463A" w14:paraId="06D1FC89" w14:textId="77777777" w:rsidTr="00A9463A">
        <w:trPr>
          <w:trHeight w:val="567"/>
        </w:trPr>
        <w:tc>
          <w:tcPr>
            <w:tcW w:w="1235" w:type="pct"/>
            <w:vAlign w:val="center"/>
          </w:tcPr>
          <w:p w14:paraId="5F8ACED3" w14:textId="77777777" w:rsidR="007C5D29" w:rsidRPr="00A9463A" w:rsidRDefault="00A9463A">
            <w:pPr>
              <w:rPr>
                <w:sz w:val="16"/>
                <w:szCs w:val="16"/>
              </w:rPr>
            </w:pPr>
            <w:r w:rsidRPr="00A9463A">
              <w:rPr>
                <w:sz w:val="16"/>
                <w:szCs w:val="16"/>
              </w:rPr>
              <w:t> </w:t>
            </w:r>
          </w:p>
        </w:tc>
        <w:tc>
          <w:tcPr>
            <w:tcW w:w="328" w:type="pct"/>
            <w:vAlign w:val="center"/>
          </w:tcPr>
          <w:p w14:paraId="6B2D5023" w14:textId="77777777" w:rsidR="007C5D29" w:rsidRPr="00A9463A" w:rsidRDefault="00A9463A">
            <w:pPr>
              <w:rPr>
                <w:b/>
                <w:bCs/>
                <w:sz w:val="16"/>
                <w:szCs w:val="16"/>
              </w:rPr>
            </w:pPr>
            <w:r w:rsidRPr="00A9463A">
              <w:rPr>
                <w:b/>
                <w:bCs/>
                <w:sz w:val="16"/>
                <w:szCs w:val="16"/>
              </w:rPr>
              <w:t>-213.803,70</w:t>
            </w:r>
          </w:p>
        </w:tc>
        <w:tc>
          <w:tcPr>
            <w:tcW w:w="508" w:type="pct"/>
            <w:vAlign w:val="center"/>
          </w:tcPr>
          <w:p w14:paraId="4468469A" w14:textId="77777777" w:rsidR="007C5D29" w:rsidRPr="00A9463A" w:rsidRDefault="00A9463A">
            <w:pPr>
              <w:rPr>
                <w:b/>
                <w:bCs/>
                <w:sz w:val="16"/>
                <w:szCs w:val="16"/>
              </w:rPr>
            </w:pPr>
            <w:r w:rsidRPr="00A9463A">
              <w:rPr>
                <w:b/>
                <w:bCs/>
                <w:sz w:val="16"/>
                <w:szCs w:val="16"/>
              </w:rPr>
              <w:t>-1.014,49</w:t>
            </w:r>
          </w:p>
        </w:tc>
        <w:tc>
          <w:tcPr>
            <w:tcW w:w="586" w:type="pct"/>
            <w:vAlign w:val="center"/>
          </w:tcPr>
          <w:p w14:paraId="6F694D65" w14:textId="77777777" w:rsidR="007C5D29" w:rsidRPr="00A9463A" w:rsidRDefault="00A9463A">
            <w:pPr>
              <w:rPr>
                <w:b/>
                <w:bCs/>
                <w:sz w:val="16"/>
                <w:szCs w:val="16"/>
              </w:rPr>
            </w:pPr>
            <w:r w:rsidRPr="00A9463A">
              <w:rPr>
                <w:b/>
                <w:bCs/>
                <w:sz w:val="16"/>
                <w:szCs w:val="16"/>
              </w:rPr>
              <w:t>0</w:t>
            </w:r>
          </w:p>
        </w:tc>
        <w:tc>
          <w:tcPr>
            <w:tcW w:w="585" w:type="pct"/>
            <w:vAlign w:val="center"/>
          </w:tcPr>
          <w:p w14:paraId="35CB1886" w14:textId="77777777" w:rsidR="007C5D29" w:rsidRPr="00A9463A" w:rsidRDefault="00A9463A">
            <w:pPr>
              <w:rPr>
                <w:b/>
                <w:bCs/>
                <w:sz w:val="16"/>
                <w:szCs w:val="16"/>
              </w:rPr>
            </w:pPr>
            <w:r w:rsidRPr="00A9463A">
              <w:rPr>
                <w:b/>
                <w:bCs/>
                <w:sz w:val="16"/>
                <w:szCs w:val="16"/>
              </w:rPr>
              <w:t>0</w:t>
            </w:r>
          </w:p>
        </w:tc>
        <w:tc>
          <w:tcPr>
            <w:tcW w:w="502" w:type="pct"/>
            <w:vAlign w:val="center"/>
          </w:tcPr>
          <w:p w14:paraId="4B7897D5" w14:textId="77777777" w:rsidR="007C5D29" w:rsidRPr="00A9463A" w:rsidRDefault="00A9463A">
            <w:pPr>
              <w:rPr>
                <w:b/>
                <w:bCs/>
                <w:sz w:val="16"/>
                <w:szCs w:val="16"/>
              </w:rPr>
            </w:pPr>
            <w:r w:rsidRPr="00A9463A">
              <w:rPr>
                <w:b/>
                <w:bCs/>
                <w:sz w:val="16"/>
                <w:szCs w:val="16"/>
              </w:rPr>
              <w:t>2.000,34</w:t>
            </w:r>
          </w:p>
        </w:tc>
        <w:tc>
          <w:tcPr>
            <w:tcW w:w="586" w:type="pct"/>
            <w:vAlign w:val="center"/>
          </w:tcPr>
          <w:p w14:paraId="6C65A755" w14:textId="77777777" w:rsidR="007C5D29" w:rsidRPr="00A9463A" w:rsidRDefault="00A9463A">
            <w:pPr>
              <w:rPr>
                <w:b/>
                <w:bCs/>
                <w:sz w:val="16"/>
                <w:szCs w:val="16"/>
              </w:rPr>
            </w:pPr>
            <w:r w:rsidRPr="00A9463A">
              <w:rPr>
                <w:b/>
                <w:bCs/>
                <w:sz w:val="16"/>
                <w:szCs w:val="16"/>
              </w:rPr>
              <w:t>166.760,12</w:t>
            </w:r>
          </w:p>
        </w:tc>
        <w:tc>
          <w:tcPr>
            <w:tcW w:w="670" w:type="pct"/>
            <w:vAlign w:val="center"/>
          </w:tcPr>
          <w:p w14:paraId="12D169BC" w14:textId="77777777" w:rsidR="007C5D29" w:rsidRPr="00A9463A" w:rsidRDefault="00A9463A">
            <w:pPr>
              <w:rPr>
                <w:b/>
                <w:bCs/>
                <w:sz w:val="16"/>
                <w:szCs w:val="16"/>
              </w:rPr>
            </w:pPr>
            <w:r w:rsidRPr="00A9463A">
              <w:rPr>
                <w:b/>
                <w:bCs/>
                <w:sz w:val="16"/>
                <w:szCs w:val="16"/>
              </w:rPr>
              <w:t>15.514,01</w:t>
            </w:r>
          </w:p>
        </w:tc>
      </w:tr>
    </w:tbl>
    <w:p w14:paraId="40D1BFD4" w14:textId="77777777" w:rsidR="007C5D29" w:rsidRDefault="00A9463A">
      <w:r>
        <w:t>Nakon provedenih korekcija rezultata iznos od 30.543,72 eura predstavlja manjak. 214.817,89 eura predstavlja metodološki manjak koji će biti pokriven u 2026. godini po plaćanju dospjelih obveza iz nadležnog proračuna budući se prelaskom u Riznicu prihodi n</w:t>
      </w:r>
      <w:r>
        <w:t>adležnog proračuna evidentiraju po plaćenoj obvezi.</w:t>
      </w:r>
    </w:p>
    <w:p w14:paraId="49B8FA5D" w14:textId="77777777" w:rsidR="007C5D29" w:rsidRDefault="00A9463A">
      <w:r>
        <w:t>Dok iznos od 184.274,47 eura predstavlja višak koji će po Odluci o raspodjeli rezultata i načinu korištenja viška prihoda biti raspoređen. </w:t>
      </w:r>
    </w:p>
    <w:p w14:paraId="58698D29" w14:textId="77777777" w:rsidR="007C5D29" w:rsidRDefault="007C5D29"/>
    <w:p w14:paraId="645953C1" w14:textId="77777777" w:rsidR="007C5D29" w:rsidRDefault="00A9463A">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405B651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EF089A"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A29CE97"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E75E1C"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121730" w14:textId="77777777" w:rsidR="007C5D29" w:rsidRDefault="00A9463A">
            <w:pPr>
              <w:keepNext/>
              <w:keepLines/>
              <w:spacing w:after="0" w:line="240" w:lineRule="auto"/>
              <w:jc w:val="center"/>
            </w:pPr>
            <w:r>
              <w:rPr>
                <w:b/>
                <w:sz w:val="18"/>
              </w:rPr>
              <w:t>Stanje 1. si</w:t>
            </w:r>
            <w:r>
              <w:rPr>
                <w:b/>
                <w:sz w:val="18"/>
              </w:rPr>
              <w:t>ječnja</w:t>
            </w:r>
          </w:p>
        </w:tc>
        <w:tc>
          <w:tcPr>
            <w:tcW w:w="1860" w:type="dxa"/>
            <w:shd w:val="clear" w:color="auto" w:fill="E7F0F9"/>
            <w:tcMar>
              <w:top w:w="0" w:type="dxa"/>
              <w:bottom w:w="0" w:type="dxa"/>
            </w:tcMar>
            <w:vAlign w:val="center"/>
          </w:tcPr>
          <w:p w14:paraId="2C105D10" w14:textId="77777777" w:rsidR="007C5D29" w:rsidRDefault="00A9463A">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ACEF360" w14:textId="77777777" w:rsidR="007C5D29" w:rsidRDefault="00A9463A">
            <w:pPr>
              <w:keepNext/>
              <w:keepLines/>
              <w:spacing w:after="0" w:line="240" w:lineRule="auto"/>
              <w:jc w:val="center"/>
            </w:pPr>
            <w:r>
              <w:rPr>
                <w:b/>
                <w:sz w:val="18"/>
              </w:rPr>
              <w:t>Indeks (%)</w:t>
            </w:r>
          </w:p>
        </w:tc>
      </w:tr>
      <w:tr w:rsidR="007C5D29" w14:paraId="7A1902CC" w14:textId="77777777">
        <w:tblPrEx>
          <w:tblCellMar>
            <w:top w:w="0" w:type="dxa"/>
            <w:bottom w:w="0" w:type="dxa"/>
          </w:tblCellMar>
        </w:tblPrEx>
        <w:trPr>
          <w:cantSplit/>
          <w:trHeight w:val="560"/>
        </w:trPr>
        <w:tc>
          <w:tcPr>
            <w:tcW w:w="700" w:type="dxa"/>
            <w:tcMar>
              <w:top w:w="0" w:type="dxa"/>
              <w:bottom w:w="0" w:type="dxa"/>
            </w:tcMar>
            <w:vAlign w:val="center"/>
          </w:tcPr>
          <w:p w14:paraId="0D412A0D" w14:textId="77777777" w:rsidR="007C5D29" w:rsidRDefault="00A9463A">
            <w:pPr>
              <w:keepNext/>
              <w:keepLines/>
              <w:spacing w:after="0" w:line="240" w:lineRule="auto"/>
            </w:pPr>
            <w:r>
              <w:rPr>
                <w:sz w:val="18"/>
              </w:rPr>
              <w:t>963</w:t>
            </w:r>
          </w:p>
        </w:tc>
        <w:tc>
          <w:tcPr>
            <w:tcW w:w="3180" w:type="dxa"/>
            <w:tcMar>
              <w:top w:w="0" w:type="dxa"/>
              <w:bottom w:w="0" w:type="dxa"/>
            </w:tcMar>
            <w:vAlign w:val="center"/>
          </w:tcPr>
          <w:p w14:paraId="17F6E547" w14:textId="77777777" w:rsidR="007C5D29" w:rsidRDefault="00A9463A">
            <w:pPr>
              <w:keepNext/>
              <w:keepLines/>
              <w:spacing w:after="0" w:line="240" w:lineRule="auto"/>
            </w:pPr>
            <w:r>
              <w:rPr>
                <w:sz w:val="18"/>
              </w:rPr>
              <w:t>Obračunate pomoći iz inozemstva i od subjekata unutar općeg proračuna (šifre 9631 do 9638)</w:t>
            </w:r>
          </w:p>
        </w:tc>
        <w:tc>
          <w:tcPr>
            <w:tcW w:w="700" w:type="dxa"/>
            <w:tcMar>
              <w:top w:w="0" w:type="dxa"/>
              <w:bottom w:w="0" w:type="dxa"/>
            </w:tcMar>
            <w:vAlign w:val="center"/>
          </w:tcPr>
          <w:p w14:paraId="75C6A33D" w14:textId="77777777" w:rsidR="007C5D29" w:rsidRDefault="00A9463A">
            <w:pPr>
              <w:keepNext/>
              <w:keepLines/>
              <w:spacing w:after="0" w:line="240" w:lineRule="auto"/>
            </w:pPr>
            <w:r>
              <w:rPr>
                <w:sz w:val="18"/>
              </w:rPr>
              <w:t>963</w:t>
            </w:r>
          </w:p>
        </w:tc>
        <w:tc>
          <w:tcPr>
            <w:tcW w:w="1860" w:type="dxa"/>
            <w:tcMar>
              <w:top w:w="0" w:type="dxa"/>
              <w:bottom w:w="0" w:type="dxa"/>
            </w:tcMar>
            <w:vAlign w:val="center"/>
          </w:tcPr>
          <w:p w14:paraId="6071622E" w14:textId="77777777" w:rsidR="007C5D29" w:rsidRDefault="00A9463A">
            <w:pPr>
              <w:keepNext/>
              <w:keepLines/>
              <w:spacing w:after="0" w:line="240" w:lineRule="auto"/>
              <w:jc w:val="right"/>
            </w:pPr>
            <w:r>
              <w:rPr>
                <w:sz w:val="18"/>
              </w:rPr>
              <w:t>135.784,00</w:t>
            </w:r>
          </w:p>
        </w:tc>
        <w:tc>
          <w:tcPr>
            <w:tcW w:w="1860" w:type="dxa"/>
            <w:tcMar>
              <w:top w:w="0" w:type="dxa"/>
              <w:bottom w:w="0" w:type="dxa"/>
            </w:tcMar>
            <w:vAlign w:val="center"/>
          </w:tcPr>
          <w:p w14:paraId="78D064D6" w14:textId="77777777" w:rsidR="007C5D29" w:rsidRDefault="00A9463A">
            <w:pPr>
              <w:keepNext/>
              <w:keepLines/>
              <w:spacing w:after="0" w:line="240" w:lineRule="auto"/>
              <w:jc w:val="right"/>
            </w:pPr>
            <w:r>
              <w:rPr>
                <w:sz w:val="18"/>
              </w:rPr>
              <w:t>21.623,19</w:t>
            </w:r>
          </w:p>
        </w:tc>
        <w:tc>
          <w:tcPr>
            <w:tcW w:w="700" w:type="dxa"/>
            <w:tcMar>
              <w:top w:w="0" w:type="dxa"/>
              <w:bottom w:w="0" w:type="dxa"/>
            </w:tcMar>
            <w:vAlign w:val="center"/>
          </w:tcPr>
          <w:p w14:paraId="6DB955AF" w14:textId="77777777" w:rsidR="007C5D29" w:rsidRDefault="00A9463A">
            <w:pPr>
              <w:keepNext/>
              <w:keepLines/>
              <w:spacing w:after="0" w:line="240" w:lineRule="auto"/>
              <w:jc w:val="right"/>
            </w:pPr>
            <w:r>
              <w:rPr>
                <w:sz w:val="18"/>
              </w:rPr>
              <w:t>15,9</w:t>
            </w:r>
          </w:p>
        </w:tc>
      </w:tr>
    </w:tbl>
    <w:p w14:paraId="2C8D3F6D" w14:textId="77777777" w:rsidR="007C5D29" w:rsidRDefault="007C5D29">
      <w:pPr>
        <w:spacing w:after="0"/>
      </w:pPr>
    </w:p>
    <w:p w14:paraId="41C7010E" w14:textId="77777777" w:rsidR="007C5D29" w:rsidRDefault="00A9463A">
      <w:r>
        <w:t xml:space="preserve">Bilježi index od 15,9. U odnosu na 2024. godinu došlo je do smanjenja budući smo u 2024. godini evidentirali cijeli iznos ugovora bespovratnih sredstava za </w:t>
      </w:r>
      <w:proofErr w:type="spellStart"/>
      <w:r>
        <w:t>INACO</w:t>
      </w:r>
      <w:proofErr w:type="spellEnd"/>
      <w:r>
        <w:t xml:space="preserve"> </w:t>
      </w:r>
      <w:proofErr w:type="spellStart"/>
      <w:r>
        <w:t>Interreg</w:t>
      </w:r>
      <w:proofErr w:type="spellEnd"/>
      <w:r>
        <w:t xml:space="preserve"> Central Europe projekt, te smo u 2025. stornirali i evidentirali po </w:t>
      </w:r>
      <w:proofErr w:type="spellStart"/>
      <w:r>
        <w:t>ZNS</w:t>
      </w:r>
      <w:proofErr w:type="spellEnd"/>
      <w:r>
        <w:t>-ovima.</w:t>
      </w:r>
    </w:p>
    <w:p w14:paraId="0A80425E" w14:textId="77777777" w:rsidR="007C5D29" w:rsidRDefault="007C5D29"/>
    <w:p w14:paraId="757EC02D" w14:textId="77777777" w:rsidR="007C5D29" w:rsidRDefault="00A9463A">
      <w:pPr>
        <w:keepNext/>
        <w:spacing w:line="240" w:lineRule="auto"/>
        <w:jc w:val="center"/>
      </w:pPr>
      <w:r>
        <w:rPr>
          <w:b/>
          <w:sz w:val="28"/>
        </w:rPr>
        <w:t>Izvje</w:t>
      </w:r>
      <w:r>
        <w:rPr>
          <w:b/>
          <w:sz w:val="28"/>
        </w:rPr>
        <w:t>štaj o rashodima prema funkcijskoj klasifikaciji</w:t>
      </w:r>
    </w:p>
    <w:p w14:paraId="1A9F68C0" w14:textId="77777777" w:rsidR="007C5D29" w:rsidRDefault="00A9463A">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5703301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823E87"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A5A46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0A0B180"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FC64A2D" w14:textId="77777777" w:rsidR="007C5D29" w:rsidRDefault="00A9463A">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5186F8D" w14:textId="77777777" w:rsidR="007C5D29" w:rsidRDefault="00A9463A">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7C277A" w14:textId="77777777" w:rsidR="007C5D29" w:rsidRDefault="00A9463A">
            <w:pPr>
              <w:keepNext/>
              <w:keepLines/>
              <w:spacing w:after="0" w:line="240" w:lineRule="auto"/>
              <w:jc w:val="center"/>
            </w:pPr>
            <w:r>
              <w:rPr>
                <w:b/>
                <w:sz w:val="18"/>
              </w:rPr>
              <w:t>Indeks (%)</w:t>
            </w:r>
          </w:p>
        </w:tc>
      </w:tr>
      <w:tr w:rsidR="007C5D29" w14:paraId="63C312AE" w14:textId="77777777">
        <w:tblPrEx>
          <w:tblCellMar>
            <w:top w:w="0" w:type="dxa"/>
            <w:bottom w:w="0" w:type="dxa"/>
          </w:tblCellMar>
        </w:tblPrEx>
        <w:trPr>
          <w:cantSplit/>
          <w:trHeight w:val="560"/>
        </w:trPr>
        <w:tc>
          <w:tcPr>
            <w:tcW w:w="700" w:type="dxa"/>
            <w:tcMar>
              <w:top w:w="0" w:type="dxa"/>
              <w:bottom w:w="0" w:type="dxa"/>
            </w:tcMar>
            <w:vAlign w:val="center"/>
          </w:tcPr>
          <w:p w14:paraId="3058A1BF" w14:textId="77777777" w:rsidR="007C5D29" w:rsidRDefault="00A9463A">
            <w:pPr>
              <w:keepNext/>
              <w:keepLines/>
              <w:spacing w:after="0" w:line="240" w:lineRule="auto"/>
            </w:pPr>
            <w:r>
              <w:rPr>
                <w:sz w:val="18"/>
              </w:rPr>
              <w:t>082</w:t>
            </w:r>
          </w:p>
        </w:tc>
        <w:tc>
          <w:tcPr>
            <w:tcW w:w="3180" w:type="dxa"/>
            <w:tcMar>
              <w:top w:w="0" w:type="dxa"/>
              <w:bottom w:w="0" w:type="dxa"/>
            </w:tcMar>
            <w:vAlign w:val="center"/>
          </w:tcPr>
          <w:p w14:paraId="5341E97D" w14:textId="77777777" w:rsidR="007C5D29" w:rsidRDefault="00A9463A">
            <w:pPr>
              <w:keepNext/>
              <w:keepLines/>
              <w:spacing w:after="0" w:line="240" w:lineRule="auto"/>
            </w:pPr>
            <w:r>
              <w:rPr>
                <w:sz w:val="18"/>
              </w:rPr>
              <w:t>Službe kulture</w:t>
            </w:r>
          </w:p>
        </w:tc>
        <w:tc>
          <w:tcPr>
            <w:tcW w:w="700" w:type="dxa"/>
            <w:tcMar>
              <w:top w:w="0" w:type="dxa"/>
              <w:bottom w:w="0" w:type="dxa"/>
            </w:tcMar>
            <w:vAlign w:val="center"/>
          </w:tcPr>
          <w:p w14:paraId="22A736BB" w14:textId="77777777" w:rsidR="007C5D29" w:rsidRDefault="00A9463A">
            <w:pPr>
              <w:keepNext/>
              <w:keepLines/>
              <w:spacing w:after="0" w:line="240" w:lineRule="auto"/>
            </w:pPr>
            <w:r>
              <w:rPr>
                <w:sz w:val="18"/>
              </w:rPr>
              <w:t>082</w:t>
            </w:r>
          </w:p>
        </w:tc>
        <w:tc>
          <w:tcPr>
            <w:tcW w:w="1860" w:type="dxa"/>
            <w:tcMar>
              <w:top w:w="0" w:type="dxa"/>
              <w:bottom w:w="0" w:type="dxa"/>
            </w:tcMar>
            <w:vAlign w:val="center"/>
          </w:tcPr>
          <w:p w14:paraId="03EB6101" w14:textId="77777777" w:rsidR="007C5D29" w:rsidRDefault="00A9463A">
            <w:pPr>
              <w:keepNext/>
              <w:keepLines/>
              <w:spacing w:after="0" w:line="240" w:lineRule="auto"/>
              <w:jc w:val="right"/>
            </w:pPr>
            <w:r>
              <w:rPr>
                <w:sz w:val="18"/>
              </w:rPr>
              <w:t>1.677.497,11</w:t>
            </w:r>
          </w:p>
        </w:tc>
        <w:tc>
          <w:tcPr>
            <w:tcW w:w="1860" w:type="dxa"/>
            <w:tcMar>
              <w:top w:w="0" w:type="dxa"/>
              <w:bottom w:w="0" w:type="dxa"/>
            </w:tcMar>
            <w:vAlign w:val="center"/>
          </w:tcPr>
          <w:p w14:paraId="77F51842" w14:textId="77777777" w:rsidR="007C5D29" w:rsidRDefault="00A9463A">
            <w:pPr>
              <w:keepNext/>
              <w:keepLines/>
              <w:spacing w:after="0" w:line="240" w:lineRule="auto"/>
              <w:jc w:val="right"/>
            </w:pPr>
            <w:r>
              <w:rPr>
                <w:sz w:val="18"/>
              </w:rPr>
              <w:t>2.242.020,23</w:t>
            </w:r>
          </w:p>
        </w:tc>
        <w:tc>
          <w:tcPr>
            <w:tcW w:w="700" w:type="dxa"/>
            <w:tcMar>
              <w:top w:w="0" w:type="dxa"/>
              <w:bottom w:w="0" w:type="dxa"/>
            </w:tcMar>
            <w:vAlign w:val="center"/>
          </w:tcPr>
          <w:p w14:paraId="10B0A553" w14:textId="77777777" w:rsidR="007C5D29" w:rsidRDefault="00A9463A">
            <w:pPr>
              <w:keepNext/>
              <w:keepLines/>
              <w:spacing w:after="0" w:line="240" w:lineRule="auto"/>
              <w:jc w:val="right"/>
            </w:pPr>
            <w:r>
              <w:rPr>
                <w:sz w:val="18"/>
              </w:rPr>
              <w:t>133,7</w:t>
            </w:r>
          </w:p>
        </w:tc>
      </w:tr>
    </w:tbl>
    <w:p w14:paraId="4DB07986" w14:textId="77777777" w:rsidR="007C5D29" w:rsidRDefault="007C5D29">
      <w:pPr>
        <w:spacing w:after="0"/>
      </w:pPr>
    </w:p>
    <w:p w14:paraId="0632DB21" w14:textId="77777777" w:rsidR="007C5D29" w:rsidRDefault="00A9463A">
      <w:r>
        <w:t>Zavod za obnovu Dubrovnika po funkcijskoj klasifikaciji razvrstava rashode u skupinu 082 Služba kulture.</w:t>
      </w:r>
    </w:p>
    <w:p w14:paraId="680D4578" w14:textId="77777777" w:rsidR="007C5D29" w:rsidRDefault="007C5D29"/>
    <w:p w14:paraId="602F0D8B" w14:textId="77777777" w:rsidR="007C5D29" w:rsidRDefault="00A9463A">
      <w:pPr>
        <w:keepNext/>
        <w:spacing w:line="240" w:lineRule="auto"/>
        <w:jc w:val="center"/>
      </w:pPr>
      <w:r>
        <w:rPr>
          <w:b/>
          <w:sz w:val="28"/>
        </w:rPr>
        <w:lastRenderedPageBreak/>
        <w:t>Promjene u vrijednosti i obujmu imovine i obveza</w:t>
      </w:r>
    </w:p>
    <w:p w14:paraId="08277E7E" w14:textId="77777777" w:rsidR="007C5D29" w:rsidRDefault="00A9463A">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22C96D3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2C57F3"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636FD9D"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6AC3F15"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FCFAAB" w14:textId="77777777" w:rsidR="007C5D29" w:rsidRDefault="00A9463A">
            <w:pPr>
              <w:keepNext/>
              <w:keepLines/>
              <w:spacing w:after="0" w:line="240" w:lineRule="auto"/>
              <w:jc w:val="center"/>
            </w:pPr>
            <w:r>
              <w:rPr>
                <w:b/>
                <w:sz w:val="18"/>
              </w:rPr>
              <w:t xml:space="preserve">Iznos </w:t>
            </w:r>
            <w:r>
              <w:rPr>
                <w:b/>
                <w:sz w:val="18"/>
              </w:rPr>
              <w:t>povećanja</w:t>
            </w:r>
          </w:p>
        </w:tc>
        <w:tc>
          <w:tcPr>
            <w:tcW w:w="1860" w:type="dxa"/>
            <w:shd w:val="clear" w:color="auto" w:fill="E7F0F9"/>
            <w:tcMar>
              <w:top w:w="0" w:type="dxa"/>
              <w:bottom w:w="0" w:type="dxa"/>
            </w:tcMar>
            <w:vAlign w:val="center"/>
          </w:tcPr>
          <w:p w14:paraId="2C295DA5" w14:textId="77777777" w:rsidR="007C5D29" w:rsidRDefault="00A9463A">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9FA4F85" w14:textId="77777777" w:rsidR="007C5D29" w:rsidRDefault="00A9463A">
            <w:pPr>
              <w:keepNext/>
              <w:keepLines/>
              <w:spacing w:after="0" w:line="240" w:lineRule="auto"/>
              <w:jc w:val="center"/>
            </w:pPr>
            <w:r>
              <w:rPr>
                <w:b/>
                <w:sz w:val="18"/>
              </w:rPr>
              <w:t>Indeks (%)</w:t>
            </w:r>
          </w:p>
        </w:tc>
      </w:tr>
      <w:tr w:rsidR="007C5D29" w14:paraId="5AB35C23" w14:textId="77777777">
        <w:tblPrEx>
          <w:tblCellMar>
            <w:top w:w="0" w:type="dxa"/>
            <w:bottom w:w="0" w:type="dxa"/>
          </w:tblCellMar>
        </w:tblPrEx>
        <w:trPr>
          <w:cantSplit/>
          <w:trHeight w:val="560"/>
        </w:trPr>
        <w:tc>
          <w:tcPr>
            <w:tcW w:w="700" w:type="dxa"/>
            <w:tcMar>
              <w:top w:w="0" w:type="dxa"/>
              <w:bottom w:w="0" w:type="dxa"/>
            </w:tcMar>
            <w:vAlign w:val="center"/>
          </w:tcPr>
          <w:p w14:paraId="246FD742" w14:textId="77777777" w:rsidR="007C5D29" w:rsidRDefault="007C5D29">
            <w:pPr>
              <w:keepNext/>
              <w:keepLines/>
              <w:spacing w:after="0" w:line="240" w:lineRule="auto"/>
            </w:pPr>
          </w:p>
        </w:tc>
        <w:tc>
          <w:tcPr>
            <w:tcW w:w="3180" w:type="dxa"/>
            <w:tcMar>
              <w:top w:w="0" w:type="dxa"/>
              <w:bottom w:w="0" w:type="dxa"/>
            </w:tcMar>
            <w:vAlign w:val="center"/>
          </w:tcPr>
          <w:p w14:paraId="71A1D79D" w14:textId="77777777" w:rsidR="007C5D29" w:rsidRDefault="00A9463A">
            <w:pPr>
              <w:keepNext/>
              <w:keepLines/>
              <w:spacing w:after="0" w:line="240" w:lineRule="auto"/>
            </w:pPr>
            <w:r>
              <w:rPr>
                <w:sz w:val="18"/>
              </w:rPr>
              <w:t>Proizvedena dugotrajna imovina</w:t>
            </w:r>
          </w:p>
        </w:tc>
        <w:tc>
          <w:tcPr>
            <w:tcW w:w="700" w:type="dxa"/>
            <w:tcMar>
              <w:top w:w="0" w:type="dxa"/>
              <w:bottom w:w="0" w:type="dxa"/>
            </w:tcMar>
            <w:vAlign w:val="center"/>
          </w:tcPr>
          <w:p w14:paraId="68D99DAA" w14:textId="77777777" w:rsidR="007C5D29" w:rsidRDefault="00A9463A">
            <w:pPr>
              <w:keepNext/>
              <w:keepLines/>
              <w:spacing w:after="0" w:line="240" w:lineRule="auto"/>
            </w:pPr>
            <w:proofErr w:type="spellStart"/>
            <w:r>
              <w:rPr>
                <w:sz w:val="18"/>
              </w:rPr>
              <w:t>P003</w:t>
            </w:r>
            <w:proofErr w:type="spellEnd"/>
          </w:p>
        </w:tc>
        <w:tc>
          <w:tcPr>
            <w:tcW w:w="1860" w:type="dxa"/>
            <w:tcMar>
              <w:top w:w="0" w:type="dxa"/>
              <w:bottom w:w="0" w:type="dxa"/>
            </w:tcMar>
            <w:vAlign w:val="center"/>
          </w:tcPr>
          <w:p w14:paraId="7F8277DE"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4B3D7C2E" w14:textId="77777777" w:rsidR="007C5D29" w:rsidRDefault="00A9463A">
            <w:pPr>
              <w:keepNext/>
              <w:keepLines/>
              <w:spacing w:after="0" w:line="240" w:lineRule="auto"/>
              <w:jc w:val="right"/>
            </w:pPr>
            <w:r>
              <w:rPr>
                <w:sz w:val="18"/>
              </w:rPr>
              <w:t>6.575,60</w:t>
            </w:r>
          </w:p>
        </w:tc>
        <w:tc>
          <w:tcPr>
            <w:tcW w:w="700" w:type="dxa"/>
            <w:tcMar>
              <w:top w:w="0" w:type="dxa"/>
              <w:bottom w:w="0" w:type="dxa"/>
            </w:tcMar>
            <w:vAlign w:val="center"/>
          </w:tcPr>
          <w:p w14:paraId="10D1C65B" w14:textId="77777777" w:rsidR="007C5D29" w:rsidRDefault="00A9463A">
            <w:pPr>
              <w:keepNext/>
              <w:keepLines/>
              <w:spacing w:after="0" w:line="240" w:lineRule="auto"/>
              <w:jc w:val="right"/>
            </w:pPr>
            <w:r>
              <w:rPr>
                <w:sz w:val="18"/>
              </w:rPr>
              <w:t>-</w:t>
            </w:r>
          </w:p>
        </w:tc>
      </w:tr>
    </w:tbl>
    <w:p w14:paraId="2DE284B5" w14:textId="77777777" w:rsidR="007C5D29" w:rsidRDefault="007C5D29">
      <w:pPr>
        <w:spacing w:after="0"/>
      </w:pPr>
    </w:p>
    <w:p w14:paraId="6609CCFF" w14:textId="77777777" w:rsidR="007C5D29" w:rsidRDefault="00A9463A">
      <w:r>
        <w:t>Stavka se odnosi na ispravak vrijednosti osnovnih sredstava na kraju 2025. godine</w:t>
      </w:r>
    </w:p>
    <w:p w14:paraId="210A4A26" w14:textId="77777777" w:rsidR="007C5D29" w:rsidRDefault="007C5D29"/>
    <w:p w14:paraId="22CB62C8" w14:textId="77777777" w:rsidR="007C5D29" w:rsidRDefault="00A9463A">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7C5D29" w14:paraId="3715251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99575D"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8B97A47"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E94DA6C"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8C38E7" w14:textId="77777777" w:rsidR="007C5D29" w:rsidRDefault="00A9463A">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616FBD53" w14:textId="77777777" w:rsidR="007C5D29" w:rsidRDefault="00A9463A">
            <w:pPr>
              <w:keepNext/>
              <w:keepLines/>
              <w:spacing w:after="0" w:line="240" w:lineRule="auto"/>
              <w:jc w:val="center"/>
            </w:pPr>
            <w:r>
              <w:rPr>
                <w:b/>
                <w:sz w:val="18"/>
              </w:rPr>
              <w:t xml:space="preserve">Iznos </w:t>
            </w:r>
            <w:r>
              <w:rPr>
                <w:b/>
                <w:sz w:val="18"/>
              </w:rPr>
              <w:t>smanjenja</w:t>
            </w:r>
          </w:p>
        </w:tc>
        <w:tc>
          <w:tcPr>
            <w:tcW w:w="700" w:type="dxa"/>
            <w:shd w:val="clear" w:color="auto" w:fill="E7F0F9"/>
            <w:tcMar>
              <w:top w:w="0" w:type="dxa"/>
              <w:bottom w:w="0" w:type="dxa"/>
            </w:tcMar>
            <w:vAlign w:val="center"/>
          </w:tcPr>
          <w:p w14:paraId="16BEF6F7" w14:textId="77777777" w:rsidR="007C5D29" w:rsidRDefault="00A9463A">
            <w:pPr>
              <w:keepNext/>
              <w:keepLines/>
              <w:spacing w:after="0" w:line="240" w:lineRule="auto"/>
              <w:jc w:val="center"/>
            </w:pPr>
            <w:r>
              <w:rPr>
                <w:b/>
                <w:sz w:val="18"/>
              </w:rPr>
              <w:t>Indeks (%)</w:t>
            </w:r>
          </w:p>
        </w:tc>
      </w:tr>
      <w:tr w:rsidR="007C5D29" w14:paraId="20B17974" w14:textId="77777777">
        <w:tblPrEx>
          <w:tblCellMar>
            <w:top w:w="0" w:type="dxa"/>
            <w:bottom w:w="0" w:type="dxa"/>
          </w:tblCellMar>
        </w:tblPrEx>
        <w:trPr>
          <w:cantSplit/>
          <w:trHeight w:val="560"/>
        </w:trPr>
        <w:tc>
          <w:tcPr>
            <w:tcW w:w="700" w:type="dxa"/>
            <w:tcMar>
              <w:top w:w="0" w:type="dxa"/>
              <w:bottom w:w="0" w:type="dxa"/>
            </w:tcMar>
            <w:vAlign w:val="center"/>
          </w:tcPr>
          <w:p w14:paraId="413CC882" w14:textId="77777777" w:rsidR="007C5D29" w:rsidRDefault="007C5D29">
            <w:pPr>
              <w:keepNext/>
              <w:keepLines/>
              <w:spacing w:after="0" w:line="240" w:lineRule="auto"/>
            </w:pPr>
          </w:p>
        </w:tc>
        <w:tc>
          <w:tcPr>
            <w:tcW w:w="3180" w:type="dxa"/>
            <w:tcMar>
              <w:top w:w="0" w:type="dxa"/>
              <w:bottom w:w="0" w:type="dxa"/>
            </w:tcMar>
            <w:vAlign w:val="center"/>
          </w:tcPr>
          <w:p w14:paraId="53E5054F" w14:textId="77777777" w:rsidR="007C5D29" w:rsidRDefault="00A9463A">
            <w:pPr>
              <w:keepNext/>
              <w:keepLines/>
              <w:spacing w:after="0" w:line="240" w:lineRule="auto"/>
            </w:pPr>
            <w:r>
              <w:rPr>
                <w:sz w:val="18"/>
              </w:rPr>
              <w:t>Proizvedena dugotrajna imovina</w:t>
            </w:r>
          </w:p>
        </w:tc>
        <w:tc>
          <w:tcPr>
            <w:tcW w:w="700" w:type="dxa"/>
            <w:tcMar>
              <w:top w:w="0" w:type="dxa"/>
              <w:bottom w:w="0" w:type="dxa"/>
            </w:tcMar>
            <w:vAlign w:val="center"/>
          </w:tcPr>
          <w:p w14:paraId="140978A0" w14:textId="77777777" w:rsidR="007C5D29" w:rsidRDefault="00A9463A">
            <w:pPr>
              <w:keepNext/>
              <w:keepLines/>
              <w:spacing w:after="0" w:line="240" w:lineRule="auto"/>
            </w:pPr>
            <w:proofErr w:type="spellStart"/>
            <w:r>
              <w:rPr>
                <w:sz w:val="18"/>
              </w:rPr>
              <w:t>P018</w:t>
            </w:r>
            <w:proofErr w:type="spellEnd"/>
          </w:p>
        </w:tc>
        <w:tc>
          <w:tcPr>
            <w:tcW w:w="1860" w:type="dxa"/>
            <w:tcMar>
              <w:top w:w="0" w:type="dxa"/>
              <w:bottom w:w="0" w:type="dxa"/>
            </w:tcMar>
            <w:vAlign w:val="center"/>
          </w:tcPr>
          <w:p w14:paraId="4A654C32" w14:textId="77777777" w:rsidR="007C5D29" w:rsidRDefault="00A9463A">
            <w:pPr>
              <w:keepNext/>
              <w:keepLines/>
              <w:spacing w:after="0" w:line="240" w:lineRule="auto"/>
              <w:jc w:val="right"/>
            </w:pPr>
            <w:r>
              <w:rPr>
                <w:sz w:val="18"/>
              </w:rPr>
              <w:t>0,00</w:t>
            </w:r>
          </w:p>
        </w:tc>
        <w:tc>
          <w:tcPr>
            <w:tcW w:w="1860" w:type="dxa"/>
            <w:tcMar>
              <w:top w:w="0" w:type="dxa"/>
              <w:bottom w:w="0" w:type="dxa"/>
            </w:tcMar>
            <w:vAlign w:val="center"/>
          </w:tcPr>
          <w:p w14:paraId="2B28EB3D" w14:textId="77777777" w:rsidR="007C5D29" w:rsidRDefault="00A9463A">
            <w:pPr>
              <w:keepNext/>
              <w:keepLines/>
              <w:spacing w:after="0" w:line="240" w:lineRule="auto"/>
              <w:jc w:val="right"/>
            </w:pPr>
            <w:r>
              <w:rPr>
                <w:sz w:val="18"/>
              </w:rPr>
              <w:t>513.639,19</w:t>
            </w:r>
          </w:p>
        </w:tc>
        <w:tc>
          <w:tcPr>
            <w:tcW w:w="700" w:type="dxa"/>
            <w:tcMar>
              <w:top w:w="0" w:type="dxa"/>
              <w:bottom w:w="0" w:type="dxa"/>
            </w:tcMar>
            <w:vAlign w:val="center"/>
          </w:tcPr>
          <w:p w14:paraId="5BD54B2A" w14:textId="77777777" w:rsidR="007C5D29" w:rsidRDefault="00A9463A">
            <w:pPr>
              <w:keepNext/>
              <w:keepLines/>
              <w:spacing w:after="0" w:line="240" w:lineRule="auto"/>
              <w:jc w:val="right"/>
            </w:pPr>
            <w:r>
              <w:rPr>
                <w:sz w:val="18"/>
              </w:rPr>
              <w:t>-</w:t>
            </w:r>
          </w:p>
        </w:tc>
      </w:tr>
    </w:tbl>
    <w:p w14:paraId="538D1FE5" w14:textId="77777777" w:rsidR="007C5D29" w:rsidRDefault="007C5D29">
      <w:pPr>
        <w:spacing w:after="0"/>
      </w:pPr>
    </w:p>
    <w:p w14:paraId="680D7C57" w14:textId="77777777" w:rsidR="007C5D29" w:rsidRDefault="00A9463A">
      <w:r>
        <w:t>Stavka se odnosi na radove obnove koje je Zavod obavio tijekom 2025. godine na imovini Grada Dubrovnika te je po završetku radova vrijednost prebačena na imovinu Grada Dubrovnika. </w:t>
      </w:r>
    </w:p>
    <w:p w14:paraId="686801E0" w14:textId="77777777" w:rsidR="007C5D29" w:rsidRDefault="007C5D29"/>
    <w:p w14:paraId="791CDA45" w14:textId="77777777" w:rsidR="007C5D29" w:rsidRDefault="00A9463A">
      <w:pPr>
        <w:keepNext/>
        <w:spacing w:line="240" w:lineRule="auto"/>
        <w:jc w:val="center"/>
      </w:pPr>
      <w:r>
        <w:rPr>
          <w:b/>
          <w:sz w:val="28"/>
        </w:rPr>
        <w:t>Izvještaj o obvezama</w:t>
      </w:r>
    </w:p>
    <w:p w14:paraId="62EE787C" w14:textId="77777777" w:rsidR="007C5D29" w:rsidRDefault="00A9463A">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C5D29" w14:paraId="0E5640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10AC8"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4577D69"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730E92"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02C051" w14:textId="77777777" w:rsidR="007C5D29" w:rsidRDefault="00A946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98D5FD" w14:textId="77777777" w:rsidR="007C5D29" w:rsidRDefault="00A9463A">
            <w:pPr>
              <w:keepNext/>
              <w:keepLines/>
              <w:spacing w:after="0" w:line="240" w:lineRule="auto"/>
              <w:jc w:val="center"/>
            </w:pPr>
            <w:r>
              <w:rPr>
                <w:b/>
                <w:sz w:val="18"/>
              </w:rPr>
              <w:t>Indeks (%)</w:t>
            </w:r>
          </w:p>
        </w:tc>
      </w:tr>
      <w:tr w:rsidR="007C5D29" w14:paraId="7D14AF9C" w14:textId="77777777">
        <w:tblPrEx>
          <w:tblCellMar>
            <w:top w:w="0" w:type="dxa"/>
            <w:bottom w:w="0" w:type="dxa"/>
          </w:tblCellMar>
        </w:tblPrEx>
        <w:trPr>
          <w:cantSplit/>
          <w:trHeight w:val="560"/>
        </w:trPr>
        <w:tc>
          <w:tcPr>
            <w:tcW w:w="700" w:type="dxa"/>
            <w:tcMar>
              <w:top w:w="0" w:type="dxa"/>
              <w:bottom w:w="0" w:type="dxa"/>
            </w:tcMar>
            <w:vAlign w:val="center"/>
          </w:tcPr>
          <w:p w14:paraId="1DFCDB30" w14:textId="77777777" w:rsidR="007C5D29" w:rsidRDefault="007C5D29">
            <w:pPr>
              <w:keepNext/>
              <w:keepLines/>
              <w:spacing w:after="0" w:line="240" w:lineRule="auto"/>
            </w:pPr>
          </w:p>
        </w:tc>
        <w:tc>
          <w:tcPr>
            <w:tcW w:w="3180" w:type="dxa"/>
            <w:tcMar>
              <w:top w:w="0" w:type="dxa"/>
              <w:bottom w:w="0" w:type="dxa"/>
            </w:tcMar>
            <w:vAlign w:val="center"/>
          </w:tcPr>
          <w:p w14:paraId="087170D8" w14:textId="77777777" w:rsidR="007C5D29" w:rsidRDefault="00A9463A">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0302CEFC" w14:textId="77777777" w:rsidR="007C5D29" w:rsidRDefault="00A9463A">
            <w:pPr>
              <w:keepNext/>
              <w:keepLines/>
              <w:spacing w:after="0" w:line="240" w:lineRule="auto"/>
            </w:pPr>
            <w:proofErr w:type="spellStart"/>
            <w:r>
              <w:rPr>
                <w:sz w:val="18"/>
              </w:rPr>
              <w:t>V001</w:t>
            </w:r>
            <w:proofErr w:type="spellEnd"/>
          </w:p>
        </w:tc>
        <w:tc>
          <w:tcPr>
            <w:tcW w:w="1860" w:type="dxa"/>
            <w:tcMar>
              <w:top w:w="0" w:type="dxa"/>
              <w:bottom w:w="0" w:type="dxa"/>
            </w:tcMar>
            <w:vAlign w:val="center"/>
          </w:tcPr>
          <w:p w14:paraId="1DCB5C16" w14:textId="77777777" w:rsidR="007C5D29" w:rsidRDefault="00A9463A">
            <w:pPr>
              <w:keepNext/>
              <w:keepLines/>
              <w:spacing w:after="0" w:line="240" w:lineRule="auto"/>
              <w:jc w:val="right"/>
            </w:pPr>
            <w:r>
              <w:rPr>
                <w:sz w:val="18"/>
              </w:rPr>
              <w:t>250.780,49</w:t>
            </w:r>
          </w:p>
        </w:tc>
        <w:tc>
          <w:tcPr>
            <w:tcW w:w="700" w:type="dxa"/>
            <w:tcMar>
              <w:top w:w="0" w:type="dxa"/>
              <w:bottom w:w="0" w:type="dxa"/>
            </w:tcMar>
            <w:vAlign w:val="center"/>
          </w:tcPr>
          <w:p w14:paraId="1D9876DD" w14:textId="77777777" w:rsidR="007C5D29" w:rsidRDefault="00A9463A">
            <w:pPr>
              <w:keepNext/>
              <w:keepLines/>
              <w:spacing w:after="0" w:line="240" w:lineRule="auto"/>
              <w:jc w:val="right"/>
            </w:pPr>
            <w:r>
              <w:rPr>
                <w:sz w:val="18"/>
              </w:rPr>
              <w:t>-</w:t>
            </w:r>
          </w:p>
        </w:tc>
      </w:tr>
    </w:tbl>
    <w:p w14:paraId="1DA1DDC6" w14:textId="77777777" w:rsidR="007C5D29" w:rsidRDefault="007C5D29">
      <w:pPr>
        <w:spacing w:after="0"/>
      </w:pPr>
    </w:p>
    <w:p w14:paraId="65C5B032" w14:textId="77777777" w:rsidR="007C5D29" w:rsidRDefault="00A9463A">
      <w:r>
        <w:t xml:space="preserve">Stanje obaveza na 1. siječnja 2025. iznose 250.780,49 eura te se odnose na tekuće obaveze za plaće djelatnika za prosinac 2024. godine, te obaveze po nedospjelim računima za 2024. godinu, obaveze za </w:t>
      </w:r>
      <w:proofErr w:type="spellStart"/>
      <w:r>
        <w:t>pologe</w:t>
      </w:r>
      <w:proofErr w:type="spellEnd"/>
      <w:r>
        <w:t xml:space="preserve"> jamstava, te obaveze za povrat neiskorištenih sred</w:t>
      </w:r>
      <w:r>
        <w:t>stava u proračun Grada Dubrovnika.</w:t>
      </w:r>
    </w:p>
    <w:p w14:paraId="6C056200" w14:textId="77777777" w:rsidR="007C5D29" w:rsidRDefault="007C5D29"/>
    <w:p w14:paraId="258D9329" w14:textId="77777777" w:rsidR="007C5D29" w:rsidRDefault="00A9463A">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C5D29" w14:paraId="7606557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535ACB"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FCF01D9"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386D572"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B75ABF" w14:textId="77777777" w:rsidR="007C5D29" w:rsidRDefault="00A946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210D42" w14:textId="77777777" w:rsidR="007C5D29" w:rsidRDefault="00A9463A">
            <w:pPr>
              <w:keepNext/>
              <w:keepLines/>
              <w:spacing w:after="0" w:line="240" w:lineRule="auto"/>
              <w:jc w:val="center"/>
            </w:pPr>
            <w:r>
              <w:rPr>
                <w:b/>
                <w:sz w:val="18"/>
              </w:rPr>
              <w:t>Indeks (%)</w:t>
            </w:r>
          </w:p>
        </w:tc>
      </w:tr>
      <w:tr w:rsidR="007C5D29" w14:paraId="506E957E" w14:textId="77777777">
        <w:tblPrEx>
          <w:tblCellMar>
            <w:top w:w="0" w:type="dxa"/>
            <w:bottom w:w="0" w:type="dxa"/>
          </w:tblCellMar>
        </w:tblPrEx>
        <w:trPr>
          <w:cantSplit/>
          <w:trHeight w:val="560"/>
        </w:trPr>
        <w:tc>
          <w:tcPr>
            <w:tcW w:w="700" w:type="dxa"/>
            <w:tcMar>
              <w:top w:w="0" w:type="dxa"/>
              <w:bottom w:w="0" w:type="dxa"/>
            </w:tcMar>
            <w:vAlign w:val="center"/>
          </w:tcPr>
          <w:p w14:paraId="6C09DB25" w14:textId="77777777" w:rsidR="007C5D29" w:rsidRDefault="007C5D29">
            <w:pPr>
              <w:keepNext/>
              <w:keepLines/>
              <w:spacing w:after="0" w:line="240" w:lineRule="auto"/>
            </w:pPr>
          </w:p>
        </w:tc>
        <w:tc>
          <w:tcPr>
            <w:tcW w:w="3180" w:type="dxa"/>
            <w:tcMar>
              <w:top w:w="0" w:type="dxa"/>
              <w:bottom w:w="0" w:type="dxa"/>
            </w:tcMar>
            <w:vAlign w:val="center"/>
          </w:tcPr>
          <w:p w14:paraId="512912B3" w14:textId="77777777" w:rsidR="007C5D29" w:rsidRDefault="00A9463A">
            <w:pPr>
              <w:keepNext/>
              <w:keepLines/>
              <w:spacing w:after="0" w:line="240" w:lineRule="auto"/>
            </w:pPr>
            <w:r>
              <w:rPr>
                <w:sz w:val="18"/>
              </w:rPr>
              <w:t xml:space="preserve">Povećanje obveza u izvještajnom razdoblju (šifre </w:t>
            </w:r>
            <w:proofErr w:type="spellStart"/>
            <w:r>
              <w:rPr>
                <w:sz w:val="18"/>
              </w:rPr>
              <w:t>V003+N23+N24</w:t>
            </w:r>
            <w:proofErr w:type="spellEnd"/>
            <w:r>
              <w:rPr>
                <w:sz w:val="18"/>
              </w:rPr>
              <w:t xml:space="preserve"> + 'N dio 25,26'+</w:t>
            </w:r>
            <w:proofErr w:type="spellStart"/>
            <w:r>
              <w:rPr>
                <w:sz w:val="18"/>
              </w:rPr>
              <w:t>N27</w:t>
            </w:r>
            <w:proofErr w:type="spellEnd"/>
            <w:r>
              <w:rPr>
                <w:sz w:val="18"/>
              </w:rPr>
              <w:t>)</w:t>
            </w:r>
          </w:p>
        </w:tc>
        <w:tc>
          <w:tcPr>
            <w:tcW w:w="700" w:type="dxa"/>
            <w:tcMar>
              <w:top w:w="0" w:type="dxa"/>
              <w:bottom w:w="0" w:type="dxa"/>
            </w:tcMar>
            <w:vAlign w:val="center"/>
          </w:tcPr>
          <w:p w14:paraId="2FBF4B66" w14:textId="77777777" w:rsidR="007C5D29" w:rsidRDefault="00A9463A">
            <w:pPr>
              <w:keepNext/>
              <w:keepLines/>
              <w:spacing w:after="0" w:line="240" w:lineRule="auto"/>
            </w:pPr>
            <w:proofErr w:type="spellStart"/>
            <w:r>
              <w:rPr>
                <w:sz w:val="18"/>
              </w:rPr>
              <w:t>V002</w:t>
            </w:r>
            <w:proofErr w:type="spellEnd"/>
          </w:p>
        </w:tc>
        <w:tc>
          <w:tcPr>
            <w:tcW w:w="1860" w:type="dxa"/>
            <w:tcMar>
              <w:top w:w="0" w:type="dxa"/>
              <w:bottom w:w="0" w:type="dxa"/>
            </w:tcMar>
            <w:vAlign w:val="center"/>
          </w:tcPr>
          <w:p w14:paraId="58BC50E2" w14:textId="77777777" w:rsidR="007C5D29" w:rsidRDefault="00A9463A">
            <w:pPr>
              <w:keepNext/>
              <w:keepLines/>
              <w:spacing w:after="0" w:line="240" w:lineRule="auto"/>
              <w:jc w:val="right"/>
            </w:pPr>
            <w:r>
              <w:rPr>
                <w:sz w:val="18"/>
              </w:rPr>
              <w:t>2.652.858,68</w:t>
            </w:r>
          </w:p>
        </w:tc>
        <w:tc>
          <w:tcPr>
            <w:tcW w:w="700" w:type="dxa"/>
            <w:tcMar>
              <w:top w:w="0" w:type="dxa"/>
              <w:bottom w:w="0" w:type="dxa"/>
            </w:tcMar>
            <w:vAlign w:val="center"/>
          </w:tcPr>
          <w:p w14:paraId="4B77DD38" w14:textId="77777777" w:rsidR="007C5D29" w:rsidRDefault="00A9463A">
            <w:pPr>
              <w:keepNext/>
              <w:keepLines/>
              <w:spacing w:after="0" w:line="240" w:lineRule="auto"/>
              <w:jc w:val="right"/>
            </w:pPr>
            <w:r>
              <w:rPr>
                <w:sz w:val="18"/>
              </w:rPr>
              <w:t>-</w:t>
            </w:r>
          </w:p>
        </w:tc>
      </w:tr>
    </w:tbl>
    <w:p w14:paraId="3D69EF0C" w14:textId="77777777" w:rsidR="007C5D29" w:rsidRDefault="007C5D29">
      <w:pPr>
        <w:spacing w:after="0"/>
      </w:pPr>
    </w:p>
    <w:p w14:paraId="240464E5" w14:textId="77777777" w:rsidR="007C5D29" w:rsidRDefault="00A9463A">
      <w:r>
        <w:t xml:space="preserve">Povećanje obaveza u toku 2025. godine odnose se na redovne obveze za zaposlene tokom godine, obaveze za materijalne rashode po ugovorim , narudžbenicama, obaveze za </w:t>
      </w:r>
      <w:r>
        <w:lastRenderedPageBreak/>
        <w:t>financijske rashode, ostale tekuće obaveze, obaveze za nabavu nefinancijske imovine te obav</w:t>
      </w:r>
      <w:r>
        <w:t xml:space="preserve">ezu za predujmove, depozite i </w:t>
      </w:r>
      <w:proofErr w:type="spellStart"/>
      <w:r>
        <w:t>jamčevne</w:t>
      </w:r>
      <w:proofErr w:type="spellEnd"/>
      <w:r>
        <w:t xml:space="preserve"> </w:t>
      </w:r>
      <w:proofErr w:type="spellStart"/>
      <w:r>
        <w:t>pologe</w:t>
      </w:r>
      <w:proofErr w:type="spellEnd"/>
      <w:r>
        <w:t>. </w:t>
      </w:r>
    </w:p>
    <w:p w14:paraId="579F6E3F" w14:textId="77777777" w:rsidR="007C5D29" w:rsidRDefault="007C5D29"/>
    <w:p w14:paraId="1A55448D" w14:textId="77777777" w:rsidR="007C5D29" w:rsidRDefault="00A9463A">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C5D29" w14:paraId="6081C24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338AA5"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85AC95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EAC993"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43E45F" w14:textId="77777777" w:rsidR="007C5D29" w:rsidRDefault="00A946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E9CCD6D" w14:textId="77777777" w:rsidR="007C5D29" w:rsidRDefault="00A9463A">
            <w:pPr>
              <w:keepNext/>
              <w:keepLines/>
              <w:spacing w:after="0" w:line="240" w:lineRule="auto"/>
              <w:jc w:val="center"/>
            </w:pPr>
            <w:r>
              <w:rPr>
                <w:b/>
                <w:sz w:val="18"/>
              </w:rPr>
              <w:t>Indeks (%)</w:t>
            </w:r>
          </w:p>
        </w:tc>
      </w:tr>
      <w:tr w:rsidR="007C5D29" w14:paraId="191710E1" w14:textId="77777777">
        <w:tblPrEx>
          <w:tblCellMar>
            <w:top w:w="0" w:type="dxa"/>
            <w:bottom w:w="0" w:type="dxa"/>
          </w:tblCellMar>
        </w:tblPrEx>
        <w:trPr>
          <w:cantSplit/>
          <w:trHeight w:val="560"/>
        </w:trPr>
        <w:tc>
          <w:tcPr>
            <w:tcW w:w="700" w:type="dxa"/>
            <w:tcMar>
              <w:top w:w="0" w:type="dxa"/>
              <w:bottom w:w="0" w:type="dxa"/>
            </w:tcMar>
            <w:vAlign w:val="center"/>
          </w:tcPr>
          <w:p w14:paraId="6D0755BD" w14:textId="77777777" w:rsidR="007C5D29" w:rsidRDefault="007C5D29">
            <w:pPr>
              <w:keepNext/>
              <w:keepLines/>
              <w:spacing w:after="0" w:line="240" w:lineRule="auto"/>
            </w:pPr>
          </w:p>
        </w:tc>
        <w:tc>
          <w:tcPr>
            <w:tcW w:w="3180" w:type="dxa"/>
            <w:tcMar>
              <w:top w:w="0" w:type="dxa"/>
              <w:bottom w:w="0" w:type="dxa"/>
            </w:tcMar>
            <w:vAlign w:val="center"/>
          </w:tcPr>
          <w:p w14:paraId="4D713117" w14:textId="77777777" w:rsidR="007C5D29" w:rsidRDefault="00A9463A">
            <w:pPr>
              <w:keepNext/>
              <w:keepLines/>
              <w:spacing w:after="0" w:line="240" w:lineRule="auto"/>
            </w:pPr>
            <w:r>
              <w:rPr>
                <w:sz w:val="18"/>
              </w:rPr>
              <w:t xml:space="preserve">Podmirene obveze u izvještajnom razdoblju (šifre </w:t>
            </w:r>
            <w:proofErr w:type="spellStart"/>
            <w:r>
              <w:rPr>
                <w:sz w:val="18"/>
              </w:rPr>
              <w:t>V005+P23+P24</w:t>
            </w:r>
            <w:proofErr w:type="spellEnd"/>
            <w:r>
              <w:rPr>
                <w:sz w:val="18"/>
              </w:rPr>
              <w:t xml:space="preserve"> + 'P dio 25,26'+</w:t>
            </w:r>
            <w:proofErr w:type="spellStart"/>
            <w:r>
              <w:rPr>
                <w:sz w:val="18"/>
              </w:rPr>
              <w:t>P27</w:t>
            </w:r>
            <w:proofErr w:type="spellEnd"/>
            <w:r>
              <w:rPr>
                <w:sz w:val="18"/>
              </w:rPr>
              <w:t>)</w:t>
            </w:r>
          </w:p>
        </w:tc>
        <w:tc>
          <w:tcPr>
            <w:tcW w:w="700" w:type="dxa"/>
            <w:tcMar>
              <w:top w:w="0" w:type="dxa"/>
              <w:bottom w:w="0" w:type="dxa"/>
            </w:tcMar>
            <w:vAlign w:val="center"/>
          </w:tcPr>
          <w:p w14:paraId="0A751BE5" w14:textId="77777777" w:rsidR="007C5D29" w:rsidRDefault="00A9463A">
            <w:pPr>
              <w:keepNext/>
              <w:keepLines/>
              <w:spacing w:after="0" w:line="240" w:lineRule="auto"/>
            </w:pPr>
            <w:proofErr w:type="spellStart"/>
            <w:r>
              <w:rPr>
                <w:sz w:val="18"/>
              </w:rPr>
              <w:t>V004</w:t>
            </w:r>
            <w:proofErr w:type="spellEnd"/>
          </w:p>
        </w:tc>
        <w:tc>
          <w:tcPr>
            <w:tcW w:w="1860" w:type="dxa"/>
            <w:tcMar>
              <w:top w:w="0" w:type="dxa"/>
              <w:bottom w:w="0" w:type="dxa"/>
            </w:tcMar>
            <w:vAlign w:val="center"/>
          </w:tcPr>
          <w:p w14:paraId="49BBE02E" w14:textId="77777777" w:rsidR="007C5D29" w:rsidRDefault="00A9463A">
            <w:pPr>
              <w:keepNext/>
              <w:keepLines/>
              <w:spacing w:after="0" w:line="240" w:lineRule="auto"/>
              <w:jc w:val="right"/>
            </w:pPr>
            <w:r>
              <w:rPr>
                <w:sz w:val="18"/>
              </w:rPr>
              <w:t>2.659.083,71</w:t>
            </w:r>
          </w:p>
        </w:tc>
        <w:tc>
          <w:tcPr>
            <w:tcW w:w="700" w:type="dxa"/>
            <w:tcMar>
              <w:top w:w="0" w:type="dxa"/>
              <w:bottom w:w="0" w:type="dxa"/>
            </w:tcMar>
            <w:vAlign w:val="center"/>
          </w:tcPr>
          <w:p w14:paraId="47942332" w14:textId="77777777" w:rsidR="007C5D29" w:rsidRDefault="00A9463A">
            <w:pPr>
              <w:keepNext/>
              <w:keepLines/>
              <w:spacing w:after="0" w:line="240" w:lineRule="auto"/>
              <w:jc w:val="right"/>
            </w:pPr>
            <w:r>
              <w:rPr>
                <w:sz w:val="18"/>
              </w:rPr>
              <w:t>-</w:t>
            </w:r>
          </w:p>
        </w:tc>
      </w:tr>
    </w:tbl>
    <w:p w14:paraId="24EF47CE" w14:textId="77777777" w:rsidR="007C5D29" w:rsidRDefault="007C5D29">
      <w:pPr>
        <w:spacing w:after="0"/>
      </w:pPr>
    </w:p>
    <w:p w14:paraId="0AA268EE" w14:textId="77777777" w:rsidR="007C5D29" w:rsidRDefault="00A9463A">
      <w:r>
        <w:t xml:space="preserve">Podmirene su sve prenesene obaveze iz 2024. godine kao i obaveze dospjele do 31.12.2025. godine osima račun </w:t>
      </w:r>
      <w:proofErr w:type="spellStart"/>
      <w:r>
        <w:t>A1</w:t>
      </w:r>
      <w:proofErr w:type="spellEnd"/>
      <w:r>
        <w:t xml:space="preserve"> koji je obrazložen u </w:t>
      </w:r>
      <w:proofErr w:type="spellStart"/>
      <w:r>
        <w:t>V007</w:t>
      </w:r>
      <w:proofErr w:type="spellEnd"/>
      <w:r>
        <w:t>.</w:t>
      </w:r>
    </w:p>
    <w:p w14:paraId="13A023B1" w14:textId="77777777" w:rsidR="007C5D29" w:rsidRDefault="007C5D29"/>
    <w:p w14:paraId="0185FDBE" w14:textId="77777777" w:rsidR="007C5D29" w:rsidRDefault="00A9463A">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C5D29" w14:paraId="5D9DCC5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641D98"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D01334"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7DA612"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58B942" w14:textId="77777777" w:rsidR="007C5D29" w:rsidRDefault="00A946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5DC80612" w14:textId="77777777" w:rsidR="007C5D29" w:rsidRDefault="00A9463A">
            <w:pPr>
              <w:keepNext/>
              <w:keepLines/>
              <w:spacing w:after="0" w:line="240" w:lineRule="auto"/>
              <w:jc w:val="center"/>
            </w:pPr>
            <w:r>
              <w:rPr>
                <w:b/>
                <w:sz w:val="18"/>
              </w:rPr>
              <w:t>Indeks (%)</w:t>
            </w:r>
          </w:p>
        </w:tc>
      </w:tr>
      <w:tr w:rsidR="007C5D29" w14:paraId="7B8230C9" w14:textId="77777777">
        <w:tblPrEx>
          <w:tblCellMar>
            <w:top w:w="0" w:type="dxa"/>
            <w:bottom w:w="0" w:type="dxa"/>
          </w:tblCellMar>
        </w:tblPrEx>
        <w:trPr>
          <w:cantSplit/>
          <w:trHeight w:val="560"/>
        </w:trPr>
        <w:tc>
          <w:tcPr>
            <w:tcW w:w="700" w:type="dxa"/>
            <w:tcMar>
              <w:top w:w="0" w:type="dxa"/>
              <w:bottom w:w="0" w:type="dxa"/>
            </w:tcMar>
            <w:vAlign w:val="center"/>
          </w:tcPr>
          <w:p w14:paraId="09B5CDE0" w14:textId="77777777" w:rsidR="007C5D29" w:rsidRDefault="007C5D29">
            <w:pPr>
              <w:keepNext/>
              <w:keepLines/>
              <w:spacing w:after="0" w:line="240" w:lineRule="auto"/>
            </w:pPr>
          </w:p>
        </w:tc>
        <w:tc>
          <w:tcPr>
            <w:tcW w:w="3180" w:type="dxa"/>
            <w:tcMar>
              <w:top w:w="0" w:type="dxa"/>
              <w:bottom w:w="0" w:type="dxa"/>
            </w:tcMar>
            <w:vAlign w:val="center"/>
          </w:tcPr>
          <w:p w14:paraId="1EA7C5CC" w14:textId="77777777" w:rsidR="007C5D29" w:rsidRDefault="00A9463A">
            <w:pPr>
              <w:keepNext/>
              <w:keepLines/>
              <w:spacing w:after="0" w:line="240" w:lineRule="auto"/>
            </w:pPr>
            <w:r>
              <w:rPr>
                <w:sz w:val="18"/>
              </w:rPr>
              <w:t xml:space="preserve">Stanje obveza na kraju izvještajnog </w:t>
            </w:r>
            <w:r>
              <w:rPr>
                <w:sz w:val="18"/>
              </w:rPr>
              <w:t xml:space="preserve">razdoblja (šifre </w:t>
            </w:r>
            <w:proofErr w:type="spellStart"/>
            <w:r>
              <w:rPr>
                <w:sz w:val="18"/>
              </w:rPr>
              <w:t>V001+V002-V004</w:t>
            </w:r>
            <w:proofErr w:type="spellEnd"/>
            <w:r>
              <w:rPr>
                <w:sz w:val="18"/>
              </w:rPr>
              <w:t xml:space="preserve">) i (šifre </w:t>
            </w:r>
            <w:proofErr w:type="spellStart"/>
            <w:r>
              <w:rPr>
                <w:sz w:val="18"/>
              </w:rPr>
              <w:t>V007+V009</w:t>
            </w:r>
            <w:proofErr w:type="spellEnd"/>
            <w:r>
              <w:rPr>
                <w:sz w:val="18"/>
              </w:rPr>
              <w:t>)</w:t>
            </w:r>
          </w:p>
        </w:tc>
        <w:tc>
          <w:tcPr>
            <w:tcW w:w="700" w:type="dxa"/>
            <w:tcMar>
              <w:top w:w="0" w:type="dxa"/>
              <w:bottom w:w="0" w:type="dxa"/>
            </w:tcMar>
            <w:vAlign w:val="center"/>
          </w:tcPr>
          <w:p w14:paraId="255BD829" w14:textId="77777777" w:rsidR="007C5D29" w:rsidRDefault="00A9463A">
            <w:pPr>
              <w:keepNext/>
              <w:keepLines/>
              <w:spacing w:after="0" w:line="240" w:lineRule="auto"/>
            </w:pPr>
            <w:proofErr w:type="spellStart"/>
            <w:r>
              <w:rPr>
                <w:sz w:val="18"/>
              </w:rPr>
              <w:t>V006</w:t>
            </w:r>
            <w:proofErr w:type="spellEnd"/>
          </w:p>
        </w:tc>
        <w:tc>
          <w:tcPr>
            <w:tcW w:w="1860" w:type="dxa"/>
            <w:tcMar>
              <w:top w:w="0" w:type="dxa"/>
              <w:bottom w:w="0" w:type="dxa"/>
            </w:tcMar>
            <w:vAlign w:val="center"/>
          </w:tcPr>
          <w:p w14:paraId="4F806773" w14:textId="77777777" w:rsidR="007C5D29" w:rsidRDefault="00A9463A">
            <w:pPr>
              <w:keepNext/>
              <w:keepLines/>
              <w:spacing w:after="0" w:line="240" w:lineRule="auto"/>
              <w:jc w:val="right"/>
            </w:pPr>
            <w:r>
              <w:rPr>
                <w:sz w:val="18"/>
              </w:rPr>
              <w:t>244.555,46</w:t>
            </w:r>
          </w:p>
        </w:tc>
        <w:tc>
          <w:tcPr>
            <w:tcW w:w="700" w:type="dxa"/>
            <w:tcMar>
              <w:top w:w="0" w:type="dxa"/>
              <w:bottom w:w="0" w:type="dxa"/>
            </w:tcMar>
            <w:vAlign w:val="center"/>
          </w:tcPr>
          <w:p w14:paraId="0C0D765B" w14:textId="77777777" w:rsidR="007C5D29" w:rsidRDefault="00A9463A">
            <w:pPr>
              <w:keepNext/>
              <w:keepLines/>
              <w:spacing w:after="0" w:line="240" w:lineRule="auto"/>
              <w:jc w:val="right"/>
            </w:pPr>
            <w:r>
              <w:rPr>
                <w:sz w:val="18"/>
              </w:rPr>
              <w:t>-</w:t>
            </w:r>
          </w:p>
        </w:tc>
      </w:tr>
    </w:tbl>
    <w:p w14:paraId="4C9683E8" w14:textId="77777777" w:rsidR="007C5D29" w:rsidRDefault="007C5D29">
      <w:pPr>
        <w:spacing w:after="0"/>
      </w:pPr>
    </w:p>
    <w:p w14:paraId="454F42E8" w14:textId="77777777" w:rsidR="007C5D29" w:rsidRDefault="00A9463A">
      <w:r>
        <w:t>Stanje obveza na kraju izvještajnog razdoblja iznosi 244.555,46 eura, te se odnose na obaveze za zaposlene za prosinac 2025, obaveze za materijalne rashode po ulaznim računima za prosinac 2025, obaveze za financijske rashode po ulaznim računima za prosinac</w:t>
      </w:r>
      <w:r>
        <w:t xml:space="preserve"> 2025, obaveze za nabavu nefinancijske imovine po ulaznim računima za prosinac 2025,  te obavezu za predujmove, depozite, </w:t>
      </w:r>
      <w:proofErr w:type="spellStart"/>
      <w:r>
        <w:t>jamčevne</w:t>
      </w:r>
      <w:proofErr w:type="spellEnd"/>
      <w:r>
        <w:t xml:space="preserve"> </w:t>
      </w:r>
      <w:proofErr w:type="spellStart"/>
      <w:r>
        <w:t>pologe</w:t>
      </w:r>
      <w:proofErr w:type="spellEnd"/>
      <w:r>
        <w:t>.</w:t>
      </w:r>
    </w:p>
    <w:p w14:paraId="0CC6A024" w14:textId="77777777" w:rsidR="007C5D29" w:rsidRDefault="007C5D29"/>
    <w:p w14:paraId="3AFA4119" w14:textId="77777777" w:rsidR="007C5D29" w:rsidRDefault="00A9463A">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7C5D29" w14:paraId="71C653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A02284" w14:textId="77777777" w:rsidR="007C5D29" w:rsidRDefault="00A9463A">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358F1E6" w14:textId="77777777" w:rsidR="007C5D29" w:rsidRDefault="00A9463A">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44FD7D" w14:textId="77777777" w:rsidR="007C5D29" w:rsidRDefault="00A9463A">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BD84D9" w14:textId="77777777" w:rsidR="007C5D29" w:rsidRDefault="00A9463A">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49E238A" w14:textId="77777777" w:rsidR="007C5D29" w:rsidRDefault="00A9463A">
            <w:pPr>
              <w:keepNext/>
              <w:keepLines/>
              <w:spacing w:after="0" w:line="240" w:lineRule="auto"/>
              <w:jc w:val="center"/>
            </w:pPr>
            <w:r>
              <w:rPr>
                <w:b/>
                <w:sz w:val="18"/>
              </w:rPr>
              <w:t>Indeks (%)</w:t>
            </w:r>
          </w:p>
        </w:tc>
      </w:tr>
      <w:tr w:rsidR="007C5D29" w14:paraId="09F62308" w14:textId="77777777">
        <w:tblPrEx>
          <w:tblCellMar>
            <w:top w:w="0" w:type="dxa"/>
            <w:bottom w:w="0" w:type="dxa"/>
          </w:tblCellMar>
        </w:tblPrEx>
        <w:trPr>
          <w:cantSplit/>
          <w:trHeight w:val="560"/>
        </w:trPr>
        <w:tc>
          <w:tcPr>
            <w:tcW w:w="700" w:type="dxa"/>
            <w:tcMar>
              <w:top w:w="0" w:type="dxa"/>
              <w:bottom w:w="0" w:type="dxa"/>
            </w:tcMar>
            <w:vAlign w:val="center"/>
          </w:tcPr>
          <w:p w14:paraId="607E44C4" w14:textId="77777777" w:rsidR="007C5D29" w:rsidRDefault="007C5D29">
            <w:pPr>
              <w:keepNext/>
              <w:keepLines/>
              <w:spacing w:after="0" w:line="240" w:lineRule="auto"/>
            </w:pPr>
          </w:p>
        </w:tc>
        <w:tc>
          <w:tcPr>
            <w:tcW w:w="3180" w:type="dxa"/>
            <w:tcMar>
              <w:top w:w="0" w:type="dxa"/>
              <w:bottom w:w="0" w:type="dxa"/>
            </w:tcMar>
            <w:vAlign w:val="center"/>
          </w:tcPr>
          <w:p w14:paraId="6721095D" w14:textId="77777777" w:rsidR="007C5D29" w:rsidRDefault="00A9463A">
            <w:pPr>
              <w:keepNext/>
              <w:keepLines/>
              <w:spacing w:after="0" w:line="240" w:lineRule="auto"/>
            </w:pPr>
            <w:r>
              <w:rPr>
                <w:sz w:val="18"/>
              </w:rPr>
              <w:t xml:space="preserve">Stanje dospjelih obveza na kraju </w:t>
            </w:r>
            <w:r>
              <w:rPr>
                <w:sz w:val="18"/>
              </w:rPr>
              <w:t xml:space="preserve">izvještajnog razdoblja (šifre </w:t>
            </w:r>
            <w:proofErr w:type="spellStart"/>
            <w:r>
              <w:rPr>
                <w:sz w:val="18"/>
              </w:rPr>
              <w:t>V008+D23+D24</w:t>
            </w:r>
            <w:proofErr w:type="spellEnd"/>
            <w:r>
              <w:rPr>
                <w:sz w:val="18"/>
              </w:rPr>
              <w:t xml:space="preserve"> + 'D dio 25,26' + </w:t>
            </w:r>
            <w:proofErr w:type="spellStart"/>
            <w:r>
              <w:rPr>
                <w:sz w:val="18"/>
              </w:rPr>
              <w:t>D27</w:t>
            </w:r>
            <w:proofErr w:type="spellEnd"/>
            <w:r>
              <w:rPr>
                <w:sz w:val="18"/>
              </w:rPr>
              <w:t>)</w:t>
            </w:r>
          </w:p>
        </w:tc>
        <w:tc>
          <w:tcPr>
            <w:tcW w:w="700" w:type="dxa"/>
            <w:tcMar>
              <w:top w:w="0" w:type="dxa"/>
              <w:bottom w:w="0" w:type="dxa"/>
            </w:tcMar>
            <w:vAlign w:val="center"/>
          </w:tcPr>
          <w:p w14:paraId="79711FC8" w14:textId="77777777" w:rsidR="007C5D29" w:rsidRDefault="00A9463A">
            <w:pPr>
              <w:keepNext/>
              <w:keepLines/>
              <w:spacing w:after="0" w:line="240" w:lineRule="auto"/>
            </w:pPr>
            <w:proofErr w:type="spellStart"/>
            <w:r>
              <w:rPr>
                <w:sz w:val="18"/>
              </w:rPr>
              <w:t>V007</w:t>
            </w:r>
            <w:proofErr w:type="spellEnd"/>
          </w:p>
        </w:tc>
        <w:tc>
          <w:tcPr>
            <w:tcW w:w="1860" w:type="dxa"/>
            <w:tcMar>
              <w:top w:w="0" w:type="dxa"/>
              <w:bottom w:w="0" w:type="dxa"/>
            </w:tcMar>
            <w:vAlign w:val="center"/>
          </w:tcPr>
          <w:p w14:paraId="03DD242F" w14:textId="77777777" w:rsidR="007C5D29" w:rsidRDefault="00A9463A">
            <w:pPr>
              <w:keepNext/>
              <w:keepLines/>
              <w:spacing w:after="0" w:line="240" w:lineRule="auto"/>
              <w:jc w:val="right"/>
            </w:pPr>
            <w:r>
              <w:rPr>
                <w:sz w:val="18"/>
              </w:rPr>
              <w:t>279,05</w:t>
            </w:r>
          </w:p>
        </w:tc>
        <w:tc>
          <w:tcPr>
            <w:tcW w:w="700" w:type="dxa"/>
            <w:tcMar>
              <w:top w:w="0" w:type="dxa"/>
              <w:bottom w:w="0" w:type="dxa"/>
            </w:tcMar>
            <w:vAlign w:val="center"/>
          </w:tcPr>
          <w:p w14:paraId="55C1E189" w14:textId="77777777" w:rsidR="007C5D29" w:rsidRDefault="00A9463A">
            <w:pPr>
              <w:keepNext/>
              <w:keepLines/>
              <w:spacing w:after="0" w:line="240" w:lineRule="auto"/>
              <w:jc w:val="right"/>
            </w:pPr>
            <w:r>
              <w:rPr>
                <w:sz w:val="18"/>
              </w:rPr>
              <w:t>-</w:t>
            </w:r>
          </w:p>
        </w:tc>
      </w:tr>
    </w:tbl>
    <w:p w14:paraId="42AAB0B7" w14:textId="77777777" w:rsidR="007C5D29" w:rsidRDefault="007C5D29">
      <w:pPr>
        <w:spacing w:after="0"/>
      </w:pPr>
    </w:p>
    <w:p w14:paraId="294A28E9" w14:textId="77777777" w:rsidR="007C5D29" w:rsidRDefault="00A9463A">
      <w:r>
        <w:t xml:space="preserve">Obaveza se odnosi na račun </w:t>
      </w:r>
      <w:proofErr w:type="spellStart"/>
      <w:r>
        <w:t>A1</w:t>
      </w:r>
      <w:proofErr w:type="spellEnd"/>
      <w:r>
        <w:t xml:space="preserve"> Hrvatska d.o.o. iz studenog 2025. Zbog prigovora na račun došlo je do kašnjenja u plaćanju te je isti podmiren u siječnju 2026. godine</w:t>
      </w:r>
    </w:p>
    <w:p w14:paraId="1D10309D" w14:textId="77777777" w:rsidR="007C5D29" w:rsidRDefault="007C5D29"/>
    <w:p w14:paraId="1125B2D5" w14:textId="77777777" w:rsidR="007C5D29" w:rsidRDefault="00A9463A">
      <w:pPr>
        <w:keepNext/>
        <w:spacing w:line="240" w:lineRule="auto"/>
        <w:jc w:val="center"/>
      </w:pPr>
      <w:r>
        <w:rPr>
          <w:sz w:val="28"/>
        </w:rPr>
        <w:t>Bilješka 40.</w:t>
      </w:r>
    </w:p>
    <w:p w14:paraId="6E4A46E7" w14:textId="77777777" w:rsidR="007C5D29" w:rsidRDefault="00A9463A">
      <w:pPr>
        <w:spacing w:line="240" w:lineRule="auto"/>
        <w:jc w:val="both"/>
      </w:pPr>
      <w:r>
        <w:rPr>
          <w:b/>
        </w:rPr>
        <w:t>EU izvještaj</w:t>
      </w:r>
    </w:p>
    <w:p w14:paraId="328F0E98" w14:textId="77777777" w:rsidR="007C5D29" w:rsidRDefault="00A9463A">
      <w:proofErr w:type="spellStart"/>
      <w:r>
        <w:t>INACO</w:t>
      </w:r>
      <w:proofErr w:type="spellEnd"/>
      <w:r>
        <w:t xml:space="preserve"> projekt – inovativne strategije za planove upravljanja riz</w:t>
      </w:r>
      <w:r>
        <w:t>icima povezanim sa klimatskim promjenama za poboljšanje otpornosti kulturne i prirodne baštine u riječnom području.</w:t>
      </w:r>
    </w:p>
    <w:p w14:paraId="352FAEAB" w14:textId="77777777" w:rsidR="007C5D29" w:rsidRDefault="00A9463A">
      <w:r>
        <w:t xml:space="preserve">Zavod za obnovu Dubrovnika od lipnja 2024. sudjeluje u provedbi europskog projekta </w:t>
      </w:r>
      <w:proofErr w:type="spellStart"/>
      <w:r>
        <w:t>Inaco</w:t>
      </w:r>
      <w:proofErr w:type="spellEnd"/>
      <w:r>
        <w:t xml:space="preserve"> ugovorenog u okviru Programa </w:t>
      </w:r>
      <w:proofErr w:type="spellStart"/>
      <w:r>
        <w:t>INTERREG</w:t>
      </w:r>
      <w:proofErr w:type="spellEnd"/>
      <w:r>
        <w:t xml:space="preserve"> CENTRAL EUROP</w:t>
      </w:r>
      <w:r>
        <w:t xml:space="preserve">E 2021-2027. Zavod u </w:t>
      </w:r>
      <w:r>
        <w:lastRenderedPageBreak/>
        <w:t xml:space="preserve">projektu raspolaže sa 170.800 eura  od čega 20% tj. 36.174 eura osigurava Zavod odnosno njegovi osnivači, a Europski fond za regionalni razvoj ( </w:t>
      </w:r>
      <w:proofErr w:type="spellStart"/>
      <w:r>
        <w:t>ERDF</w:t>
      </w:r>
      <w:proofErr w:type="spellEnd"/>
      <w:r>
        <w:t xml:space="preserve">) osigurava 80% tj. 136.704 eura, no do trenutka pojedine uplate od </w:t>
      </w:r>
      <w:proofErr w:type="spellStart"/>
      <w:r>
        <w:t>ERDF</w:t>
      </w:r>
      <w:proofErr w:type="spellEnd"/>
      <w:r>
        <w:t>-a potrebno je</w:t>
      </w:r>
      <w:r>
        <w:t xml:space="preserve"> osigurati </w:t>
      </w:r>
      <w:proofErr w:type="spellStart"/>
      <w:r>
        <w:t>predfinanciranje</w:t>
      </w:r>
      <w:proofErr w:type="spellEnd"/>
      <w:r>
        <w:t xml:space="preserve"> od strane Zavoda odnosno osnivača. Do kraja 2025. godine od ukupno 136.704 eura europski sredstava realizirano je 34.333,95 eura te do kraja projekta ostaje za realizirati 102.370,05 eura. Na dan 31.12.2025 stanje potraživanja z</w:t>
      </w:r>
      <w:r>
        <w:t xml:space="preserve">a tekuće pomoći od institucija i tijela Eu iznose 21.623,19 eura po III. </w:t>
      </w:r>
      <w:proofErr w:type="spellStart"/>
      <w:r>
        <w:t>ZNS</w:t>
      </w:r>
      <w:proofErr w:type="spellEnd"/>
      <w:r>
        <w:t>-u koji je certificiran. U 2025. godini ostvareno su rashodi iz izvora nacionalnog sufinanciranja u iznosu od 9.142,16 eura koji su financirani prihodima iz nadležnog proračuna Gra</w:t>
      </w:r>
      <w:r>
        <w:t xml:space="preserve">da Dubrovnika, te su prihodi manji za troškove 12. mjeseca koji su podmireni u siječnju 2026. godine. budući prihode nadležnog proračuna evidentiramo po plaćenim računima. U 2025. godini ostvareni su rashodi  iz izvora 563  u iznosu od 36.568,55 eura koji </w:t>
      </w:r>
      <w:r>
        <w:t xml:space="preserve">su </w:t>
      </w:r>
      <w:proofErr w:type="spellStart"/>
      <w:r>
        <w:t>predfinancirani</w:t>
      </w:r>
      <w:proofErr w:type="spellEnd"/>
      <w:r>
        <w:t xml:space="preserve"> prihodima iz nadležnog proračuna Grada Dubrovnika , te su prihodi manji za troškove 12. mjeseca koji su podmireni u siječnju 2026. godine budući prihode nadležnog proračuna evidentiramo po plaćenim računima.</w:t>
      </w:r>
    </w:p>
    <w:p w14:paraId="014C9A9C" w14:textId="77777777" w:rsidR="007C5D29" w:rsidRDefault="00A9463A">
      <w:r>
        <w:t> </w:t>
      </w:r>
    </w:p>
    <w:p w14:paraId="72D406E5" w14:textId="77777777" w:rsidR="007C5D29" w:rsidRDefault="007C5D29"/>
    <w:sectPr w:rsidR="007C5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D29"/>
    <w:rsid w:val="007C5D29"/>
    <w:rsid w:val="00A9463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19D28"/>
  <w15:docId w15:val="{C08016F4-E492-4483-8E7E-00A04C371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3157</Words>
  <Characters>18001</Characters>
  <Application>Microsoft Office Word</Application>
  <DocSecurity>0</DocSecurity>
  <Lines>150</Lines>
  <Paragraphs>42</Paragraphs>
  <ScaleCrop>false</ScaleCrop>
  <Company>Hewlett-Packard Company</Company>
  <LinksUpToDate>false</LinksUpToDate>
  <CharactersWithSpaces>21116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Klara</cp:lastModifiedBy>
  <cp:revision>2</cp:revision>
  <cp:lastPrinted>2026-02-02T09:46:00Z</cp:lastPrinted>
  <dcterms:created xsi:type="dcterms:W3CDTF">2026-02-02T09:46:00Z</dcterms:created>
  <dcterms:modified xsi:type="dcterms:W3CDTF">2026-02-02T09:46:00Z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35c2c1b2-6061-4bbb-9b2a-347ba0115b97</vt:lpwstr>
  </property>
</Properties>
</file>