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61" w:rsidRPr="00636529" w:rsidRDefault="00781061" w:rsidP="00781061">
      <w:pPr>
        <w:pStyle w:val="NoSpacing"/>
        <w:jc w:val="center"/>
        <w:rPr>
          <w:b/>
        </w:rPr>
      </w:pPr>
      <w:r w:rsidRPr="00636529">
        <w:rPr>
          <w:b/>
        </w:rPr>
        <w:t>PROJEKTNI ZADATAK</w:t>
      </w:r>
    </w:p>
    <w:p w:rsidR="00781061" w:rsidRPr="00636529" w:rsidRDefault="00781061" w:rsidP="00781061">
      <w:pPr>
        <w:pStyle w:val="NoSpacing"/>
        <w:jc w:val="center"/>
        <w:rPr>
          <w:b/>
        </w:rPr>
      </w:pPr>
    </w:p>
    <w:p w:rsidR="00781061" w:rsidRPr="00636529" w:rsidRDefault="00781061" w:rsidP="00781061">
      <w:pPr>
        <w:pStyle w:val="NoSpacing"/>
        <w:jc w:val="center"/>
        <w:rPr>
          <w:b/>
        </w:rPr>
      </w:pPr>
      <w:r>
        <w:rPr>
          <w:b/>
        </w:rPr>
        <w:t>U</w:t>
      </w:r>
      <w:r w:rsidRPr="00636529">
        <w:rPr>
          <w:b/>
        </w:rPr>
        <w:t xml:space="preserve">naprjeđenje institucionalnih kapaciteta </w:t>
      </w:r>
      <w:r>
        <w:rPr>
          <w:b/>
        </w:rPr>
        <w:t xml:space="preserve">javnih dionika </w:t>
      </w:r>
      <w:r w:rsidRPr="00636529">
        <w:rPr>
          <w:b/>
        </w:rPr>
        <w:t>u upravljanju svjetskim dobrom UNESCO-a „Starim gradom Dubrovnikom“</w:t>
      </w:r>
    </w:p>
    <w:p w:rsidR="00781061" w:rsidRPr="00636529" w:rsidRDefault="00781061" w:rsidP="00781061">
      <w:pPr>
        <w:pStyle w:val="NoSpacing"/>
      </w:pPr>
    </w:p>
    <w:p w:rsidR="00781061" w:rsidRDefault="00781061" w:rsidP="00781061">
      <w:pPr>
        <w:pStyle w:val="NoSpacing"/>
      </w:pPr>
    </w:p>
    <w:p w:rsidR="00781061" w:rsidRDefault="00781061" w:rsidP="00781061">
      <w:pPr>
        <w:pStyle w:val="NoSpacing"/>
      </w:pPr>
      <w:r>
        <w:t>UVOD</w:t>
      </w:r>
    </w:p>
    <w:p w:rsidR="00781061" w:rsidRDefault="00781061" w:rsidP="00781061">
      <w:pPr>
        <w:pStyle w:val="NoSpacing"/>
      </w:pPr>
    </w:p>
    <w:p w:rsidR="00781061" w:rsidRPr="00636529" w:rsidRDefault="00781061" w:rsidP="00781061">
      <w:pPr>
        <w:pStyle w:val="NoSpacing"/>
        <w:jc w:val="both"/>
      </w:pPr>
      <w:r w:rsidRPr="00636529">
        <w:t>Plan upravljanja svjetskim dobrom UNESCO-a „Starim Gra</w:t>
      </w:r>
      <w:r>
        <w:t>dom Dubrovnikom“ donesen je 2021. godine</w:t>
      </w:r>
      <w:r w:rsidRPr="00636529">
        <w:t xml:space="preserve"> </w:t>
      </w:r>
      <w:r>
        <w:t xml:space="preserve">te </w:t>
      </w:r>
      <w:r w:rsidRPr="00636529">
        <w:t xml:space="preserve">predstavlja prvu generaciju planova upravljanja za područje dobra svjetske baštine u Dubrovniku. Ujedno predstavlja i prvi plan te vrste za urbanu zaštićenu cjelinu na razini Republike Hrvatske, s temeljnom svrhom upravljanja svjetskim dobrom i okolnim područjem. </w:t>
      </w:r>
    </w:p>
    <w:p w:rsidR="00781061" w:rsidRPr="00636529" w:rsidRDefault="00781061" w:rsidP="00781061">
      <w:pPr>
        <w:pStyle w:val="NoSpacing"/>
        <w:jc w:val="both"/>
      </w:pPr>
      <w:r w:rsidRPr="00636529">
        <w:t>Operativno upravljanje povijesnim područjem grada Dubrovnika temelji se na funkcionalnom djelovanju integriranog sustava koji uklj</w:t>
      </w:r>
      <w:bookmarkStart w:id="0" w:name="_GoBack"/>
      <w:bookmarkEnd w:id="0"/>
      <w:r w:rsidRPr="00636529">
        <w:t xml:space="preserve">učuje različite institucije i alate upravljanja. </w:t>
      </w:r>
    </w:p>
    <w:p w:rsidR="00781061" w:rsidRDefault="00781061" w:rsidP="00781061">
      <w:pPr>
        <w:pStyle w:val="NoSpacing"/>
      </w:pPr>
    </w:p>
    <w:p w:rsidR="00781061" w:rsidRPr="00636529" w:rsidRDefault="00781061" w:rsidP="00781061">
      <w:pPr>
        <w:pStyle w:val="NoSpacing"/>
        <w:jc w:val="both"/>
      </w:pPr>
      <w:r>
        <w:t>Akcijski plan Plana upravljanja sadrži kao aktivnost</w:t>
      </w:r>
      <w:r w:rsidRPr="00636529">
        <w:t xml:space="preserve"> </w:t>
      </w:r>
      <w:r>
        <w:t>Strategiju</w:t>
      </w:r>
      <w:r w:rsidRPr="00636529">
        <w:t xml:space="preserve"> za jačanje i izgradnju kapaciteta dionika o svjetskom dobru UNESCO-a „Starom gradu Dubrovniku“</w:t>
      </w:r>
      <w:r>
        <w:t xml:space="preserve"> te je ista </w:t>
      </w:r>
      <w:r w:rsidRPr="00636529">
        <w:t xml:space="preserve">izrađena </w:t>
      </w:r>
      <w:r>
        <w:t xml:space="preserve">2024. godine (u daljnjem tekstu: Strategija), a usmjerena je </w:t>
      </w:r>
      <w:r w:rsidRPr="00636529">
        <w:t xml:space="preserve">na jačanje kapaciteta dionika </w:t>
      </w:r>
      <w:r>
        <w:t>tijekom provedbe</w:t>
      </w:r>
      <w:r w:rsidRPr="00636529">
        <w:t xml:space="preserve"> Plana upravljanja. </w:t>
      </w:r>
      <w:r>
        <w:t xml:space="preserve">Strategija, </w:t>
      </w:r>
      <w:r w:rsidRPr="00636529">
        <w:t xml:space="preserve">sukladno Konvenciji o svjetskoj baštini, naglasak stavlja na brigu o vjerodostojnosti, očuvanju baštine, izgradnji kapaciteta, međusobnoj komunikaciji, poboljšanju komunikacije između dionika te komuniciranju prema javnosti s redovnim aktivnostima i uključivanju lokalne zajednice. </w:t>
      </w:r>
    </w:p>
    <w:p w:rsidR="00781061" w:rsidRPr="00636529" w:rsidRDefault="00781061" w:rsidP="00781061">
      <w:pPr>
        <w:pStyle w:val="NoSpacing"/>
        <w:jc w:val="both"/>
      </w:pPr>
      <w:r w:rsidRPr="00636529">
        <w:t>Izgradnja kapaciteta, prepoznata kao ključni temelj učinkovitog upravljanja i očuvanja UNESCO-</w:t>
      </w:r>
      <w:proofErr w:type="spellStart"/>
      <w:r w:rsidRPr="00636529">
        <w:t>ve</w:t>
      </w:r>
      <w:proofErr w:type="spellEnd"/>
      <w:r w:rsidRPr="00636529">
        <w:t xml:space="preserve"> svjetske baštine, </w:t>
      </w:r>
      <w:r>
        <w:t xml:space="preserve">je </w:t>
      </w:r>
      <w:r w:rsidRPr="00636529">
        <w:t>prioritetni cilj izrade i provedbe Strategije. Unaprjeđenje institucionalnih kapaciteta u upravljanju svjetskim dobrom UNESCO-a „Starim gradom Dubrovnikom“</w:t>
      </w:r>
      <w:r>
        <w:t xml:space="preserve"> (u daljnjem tekstu: u</w:t>
      </w:r>
      <w:r w:rsidRPr="00636529">
        <w:t>naprjeđe</w:t>
      </w:r>
      <w:r>
        <w:t>nje institucionalnih kapaciteta) je dio akcijskog plana Strategije.</w:t>
      </w:r>
      <w:r w:rsidRPr="00B46932">
        <w:t xml:space="preserve"> </w:t>
      </w:r>
      <w:r w:rsidRPr="00636529">
        <w:t xml:space="preserve">Cilj unaprjeđenja institucionalnih kapaciteta </w:t>
      </w:r>
      <w:r>
        <w:t xml:space="preserve">uključuje </w:t>
      </w:r>
      <w:r w:rsidRPr="00636529">
        <w:t>osiguranje održivosti i provedivosti Plana upravljanja</w:t>
      </w:r>
      <w:r>
        <w:t xml:space="preserve"> kao i izgradnju</w:t>
      </w:r>
      <w:r w:rsidRPr="00636529">
        <w:t xml:space="preserve"> svijesti o povijesnom u</w:t>
      </w:r>
      <w:r>
        <w:t>rbanom krajoliku. Unutar samog Plana upravljanja predviđena je aktivnost 4.1. koja se odnosi na unapređenje kapaciteta svih javnih službi koje se brinu za prostor Svjetskog dobra. Bitna komponenta je suradnja sa drugim jedinicama lokalne samouprave i izgradnja znanja o različitim ograničenjima u procesu provedbe Plana.</w:t>
      </w:r>
      <w:r w:rsidR="0056781E">
        <w:t xml:space="preserve">    </w:t>
      </w:r>
    </w:p>
    <w:p w:rsidR="00781061" w:rsidRPr="00636529" w:rsidRDefault="00781061" w:rsidP="00781061">
      <w:pPr>
        <w:pStyle w:val="NoSpacing"/>
        <w:jc w:val="both"/>
      </w:pPr>
    </w:p>
    <w:p w:rsidR="00781061" w:rsidRPr="00636529" w:rsidRDefault="00781061" w:rsidP="00781061">
      <w:pPr>
        <w:pStyle w:val="NoSpacing"/>
      </w:pPr>
    </w:p>
    <w:p w:rsidR="00781061" w:rsidRDefault="00781061" w:rsidP="00781061">
      <w:pPr>
        <w:pStyle w:val="NoSpacing"/>
        <w:jc w:val="both"/>
      </w:pPr>
      <w:r>
        <w:t>PREDMET NABAVE</w:t>
      </w:r>
    </w:p>
    <w:p w:rsidR="00781061" w:rsidRDefault="00781061" w:rsidP="00781061">
      <w:pPr>
        <w:pStyle w:val="NoSpacing"/>
        <w:jc w:val="both"/>
      </w:pPr>
    </w:p>
    <w:p w:rsidR="00781061" w:rsidRPr="00636529" w:rsidRDefault="00781061" w:rsidP="00781061">
      <w:pPr>
        <w:pStyle w:val="NoSpacing"/>
        <w:jc w:val="both"/>
        <w:rPr>
          <w:b/>
          <w:bCs/>
          <w:u w:color="FF0000"/>
          <w:shd w:val="clear" w:color="auto" w:fill="FFFFFF"/>
        </w:rPr>
      </w:pPr>
      <w:r>
        <w:t>Usluge koje su predmet nabave obuhvaćaju izradu i provedbu plana aktivnosti te izradu programa za u</w:t>
      </w:r>
      <w:r w:rsidRPr="00636529">
        <w:t>naprjeđenj</w:t>
      </w:r>
      <w:r>
        <w:t>e</w:t>
      </w:r>
      <w:r w:rsidRPr="00636529">
        <w:t xml:space="preserve"> institucionalnih kapaciteta</w:t>
      </w:r>
      <w:r>
        <w:t>, što je detaljnije prikazano u tablici.</w:t>
      </w:r>
    </w:p>
    <w:p w:rsidR="00781061" w:rsidRPr="00636529" w:rsidRDefault="00781061" w:rsidP="00781061">
      <w:pPr>
        <w:pStyle w:val="NoSpacing"/>
        <w:rPr>
          <w:b/>
          <w:bCs/>
          <w:u w:color="FF0000"/>
          <w:shd w:val="clear" w:color="auto" w:fill="FFFFFF"/>
        </w:rPr>
      </w:pPr>
    </w:p>
    <w:tbl>
      <w:tblPr>
        <w:tblStyle w:val="TableGrid"/>
        <w:tblW w:w="8851" w:type="dxa"/>
        <w:tblLayout w:type="fixed"/>
        <w:tblLook w:val="04A0" w:firstRow="1" w:lastRow="0" w:firstColumn="1" w:lastColumn="0" w:noHBand="0" w:noVBand="1"/>
      </w:tblPr>
      <w:tblGrid>
        <w:gridCol w:w="2331"/>
        <w:gridCol w:w="6520"/>
      </w:tblGrid>
      <w:tr w:rsidR="00781061" w:rsidRPr="00636529" w:rsidTr="001234A0">
        <w:trPr>
          <w:trHeight w:val="938"/>
        </w:trPr>
        <w:tc>
          <w:tcPr>
            <w:tcW w:w="2331" w:type="dxa"/>
          </w:tcPr>
          <w:p w:rsidR="00781061" w:rsidRDefault="00781061" w:rsidP="001234A0">
            <w:pPr>
              <w:pStyle w:val="NoSpacing"/>
              <w:rPr>
                <w:u w:color="FF0000"/>
              </w:rPr>
            </w:pPr>
            <w:r w:rsidRPr="00D32DE2">
              <w:rPr>
                <w:u w:color="FF0000"/>
              </w:rPr>
              <w:t xml:space="preserve">Izrada </w:t>
            </w:r>
            <w:r>
              <w:rPr>
                <w:u w:color="FF0000"/>
              </w:rPr>
              <w:t>Plana aktivnosti</w:t>
            </w:r>
          </w:p>
        </w:tc>
        <w:tc>
          <w:tcPr>
            <w:tcW w:w="6520" w:type="dxa"/>
          </w:tcPr>
          <w:p w:rsidR="00781061" w:rsidRPr="00636529" w:rsidRDefault="00781061" w:rsidP="001234A0">
            <w:pPr>
              <w:pStyle w:val="NoSpacing"/>
            </w:pPr>
            <w:r>
              <w:rPr>
                <w:u w:color="FF0000"/>
              </w:rPr>
              <w:t>Izrada početnog izvješća, koja uključuje metodologiju provedbe procesa za identifikaciju izazova i deset (10) edukacija</w:t>
            </w:r>
          </w:p>
          <w:p w:rsidR="00781061" w:rsidRDefault="00781061" w:rsidP="001234A0">
            <w:pPr>
              <w:pStyle w:val="NoSpacing"/>
            </w:pPr>
            <w:r>
              <w:t>Prioritetne teme:</w:t>
            </w:r>
          </w:p>
          <w:p w:rsidR="00781061" w:rsidRDefault="00781061" w:rsidP="001234A0">
            <w:pPr>
              <w:pStyle w:val="NoSpacing"/>
            </w:pPr>
            <w:r>
              <w:t>Odgovornost i administrativni okvir, komunikacija</w:t>
            </w:r>
          </w:p>
          <w:p w:rsidR="00781061" w:rsidRDefault="00781061" w:rsidP="001234A0">
            <w:pPr>
              <w:pStyle w:val="NoSpacing"/>
            </w:pPr>
            <w:r>
              <w:t>Kapaciteti i ljudski resursi</w:t>
            </w:r>
          </w:p>
          <w:p w:rsidR="00781061" w:rsidRDefault="00781061" w:rsidP="001234A0">
            <w:pPr>
              <w:pStyle w:val="NoSpacing"/>
            </w:pPr>
            <w:r>
              <w:t>Upravljanje i planiranje</w:t>
            </w:r>
          </w:p>
          <w:p w:rsidR="00781061" w:rsidRDefault="00781061" w:rsidP="001234A0">
            <w:pPr>
              <w:pStyle w:val="NoSpacing"/>
            </w:pPr>
            <w:r>
              <w:t xml:space="preserve">Praćenje i dokumentacija </w:t>
            </w:r>
          </w:p>
          <w:p w:rsidR="00781061" w:rsidRDefault="00781061" w:rsidP="001234A0">
            <w:pPr>
              <w:pStyle w:val="NoSpacing"/>
            </w:pPr>
            <w:r>
              <w:t>Digitalna transformacija</w:t>
            </w:r>
          </w:p>
          <w:p w:rsidR="00781061" w:rsidRDefault="00781061" w:rsidP="001234A0">
            <w:pPr>
              <w:pStyle w:val="NoSpacing"/>
            </w:pPr>
            <w:r>
              <w:t xml:space="preserve">Procjena rizika i potrebe </w:t>
            </w:r>
          </w:p>
          <w:p w:rsidR="00781061" w:rsidRDefault="00781061" w:rsidP="001234A0">
            <w:pPr>
              <w:pStyle w:val="NoSpacing"/>
            </w:pPr>
            <w:r>
              <w:t xml:space="preserve">Turizam i gospodarski utjecaj </w:t>
            </w:r>
          </w:p>
          <w:p w:rsidR="00781061" w:rsidRDefault="00781061" w:rsidP="001234A0">
            <w:pPr>
              <w:pStyle w:val="NoSpacing"/>
            </w:pPr>
            <w:r>
              <w:t>Uključenost zajednice</w:t>
            </w:r>
          </w:p>
          <w:p w:rsidR="00781061" w:rsidRDefault="00781061" w:rsidP="001234A0">
            <w:pPr>
              <w:pStyle w:val="NoSpacing"/>
            </w:pPr>
            <w:r>
              <w:t>Obrazovna uloga baštine</w:t>
            </w:r>
          </w:p>
          <w:p w:rsidR="00781061" w:rsidRPr="00636529" w:rsidRDefault="00781061" w:rsidP="001234A0">
            <w:pPr>
              <w:pStyle w:val="NoSpacing"/>
            </w:pPr>
            <w:r>
              <w:t>Umreženost i partnerstva</w:t>
            </w:r>
          </w:p>
        </w:tc>
      </w:tr>
      <w:tr w:rsidR="00781061" w:rsidRPr="00636529" w:rsidTr="001234A0">
        <w:trPr>
          <w:trHeight w:val="233"/>
        </w:trPr>
        <w:tc>
          <w:tcPr>
            <w:tcW w:w="2331" w:type="dxa"/>
            <w:vMerge w:val="restart"/>
          </w:tcPr>
          <w:p w:rsidR="00781061" w:rsidRPr="00636529" w:rsidRDefault="00781061" w:rsidP="001234A0">
            <w:pPr>
              <w:pStyle w:val="NoSpacing"/>
              <w:rPr>
                <w:u w:color="FF0000"/>
              </w:rPr>
            </w:pPr>
            <w:r>
              <w:rPr>
                <w:u w:color="FF0000"/>
              </w:rPr>
              <w:lastRenderedPageBreak/>
              <w:t xml:space="preserve">Identifikacija potreba, izazova i ograničenja </w:t>
            </w:r>
            <w:r w:rsidRPr="00CE6D4B">
              <w:rPr>
                <w:u w:color="FF0000"/>
              </w:rPr>
              <w:t>javnih dionika u upravljanju svjetskim dobrom</w:t>
            </w:r>
          </w:p>
        </w:tc>
        <w:tc>
          <w:tcPr>
            <w:tcW w:w="6520" w:type="dxa"/>
          </w:tcPr>
          <w:p w:rsidR="00781061" w:rsidRPr="00636529" w:rsidRDefault="00781061" w:rsidP="001234A0">
            <w:pPr>
              <w:pStyle w:val="NoSpacing"/>
            </w:pPr>
            <w:r w:rsidRPr="00636529">
              <w:rPr>
                <w:u w:color="FF0000"/>
              </w:rPr>
              <w:t xml:space="preserve">Savjetovanje s </w:t>
            </w:r>
            <w:r>
              <w:rPr>
                <w:u w:color="FF0000"/>
              </w:rPr>
              <w:t xml:space="preserve">javnim službama </w:t>
            </w:r>
            <w:r w:rsidRPr="00636529">
              <w:rPr>
                <w:u w:color="FF0000"/>
              </w:rPr>
              <w:t>i informiranje o potrebama, izazovima i problemima</w:t>
            </w:r>
            <w:r>
              <w:rPr>
                <w:u w:color="FF0000"/>
              </w:rPr>
              <w:t xml:space="preserve"> u upravljanju, uključujući preklapanja institucionalnih mjerodavnosti.</w:t>
            </w:r>
          </w:p>
        </w:tc>
      </w:tr>
      <w:tr w:rsidR="00781061" w:rsidRPr="00636529" w:rsidTr="001234A0">
        <w:trPr>
          <w:trHeight w:val="453"/>
        </w:trPr>
        <w:tc>
          <w:tcPr>
            <w:tcW w:w="2331" w:type="dxa"/>
            <w:vMerge/>
          </w:tcPr>
          <w:p w:rsidR="00781061" w:rsidRPr="00636529" w:rsidRDefault="00781061" w:rsidP="001234A0">
            <w:pPr>
              <w:pStyle w:val="NoSpacing"/>
              <w:rPr>
                <w:u w:color="FF0000"/>
              </w:rPr>
            </w:pPr>
          </w:p>
        </w:tc>
        <w:tc>
          <w:tcPr>
            <w:tcW w:w="6520" w:type="dxa"/>
          </w:tcPr>
          <w:p w:rsidR="00781061" w:rsidRPr="00636529" w:rsidRDefault="00781061" w:rsidP="001234A0">
            <w:pPr>
              <w:pStyle w:val="NoSpacing"/>
            </w:pPr>
            <w:r w:rsidRPr="00636529">
              <w:rPr>
                <w:u w:color="FF0000"/>
              </w:rPr>
              <w:t xml:space="preserve">Pregled </w:t>
            </w:r>
            <w:r>
              <w:rPr>
                <w:u w:color="FF0000"/>
              </w:rPr>
              <w:t xml:space="preserve">izmjena </w:t>
            </w:r>
            <w:r w:rsidRPr="00636529">
              <w:rPr>
                <w:u w:color="FF0000"/>
              </w:rPr>
              <w:t>zakonodavnog i institucionalnog okvira koji se odnosi na zaštitu i očuvanje kulturnih dobara u Republici Hrvatskoj i Dubrovniku</w:t>
            </w:r>
          </w:p>
        </w:tc>
      </w:tr>
      <w:tr w:rsidR="00781061" w:rsidRPr="00636529" w:rsidTr="001234A0">
        <w:trPr>
          <w:trHeight w:val="418"/>
        </w:trPr>
        <w:tc>
          <w:tcPr>
            <w:tcW w:w="2331" w:type="dxa"/>
            <w:vMerge/>
          </w:tcPr>
          <w:p w:rsidR="00781061" w:rsidRPr="00636529" w:rsidRDefault="00781061" w:rsidP="001234A0">
            <w:pPr>
              <w:pStyle w:val="NoSpacing"/>
              <w:rPr>
                <w:u w:color="FF0000"/>
              </w:rPr>
            </w:pPr>
          </w:p>
        </w:tc>
        <w:tc>
          <w:tcPr>
            <w:tcW w:w="6520" w:type="dxa"/>
          </w:tcPr>
          <w:p w:rsidR="00781061" w:rsidRPr="00636529" w:rsidRDefault="00781061" w:rsidP="001234A0">
            <w:pPr>
              <w:pStyle w:val="NoSpacing"/>
            </w:pPr>
            <w:r w:rsidRPr="00636529">
              <w:rPr>
                <w:u w:color="FF0000"/>
              </w:rPr>
              <w:t>Pregled izvješća o misijama, izvješća o stanju očuvanosti i odluk</w:t>
            </w:r>
            <w:r>
              <w:rPr>
                <w:u w:color="FF0000"/>
              </w:rPr>
              <w:t xml:space="preserve">a </w:t>
            </w:r>
            <w:r w:rsidRPr="00636529">
              <w:rPr>
                <w:u w:color="FF0000"/>
              </w:rPr>
              <w:t xml:space="preserve">Odbora za svjetsku baštinu </w:t>
            </w:r>
          </w:p>
        </w:tc>
      </w:tr>
      <w:tr w:rsidR="00781061" w:rsidRPr="00636529" w:rsidTr="001234A0">
        <w:trPr>
          <w:trHeight w:val="418"/>
        </w:trPr>
        <w:tc>
          <w:tcPr>
            <w:tcW w:w="2331" w:type="dxa"/>
            <w:vMerge/>
          </w:tcPr>
          <w:p w:rsidR="00781061" w:rsidRPr="00636529" w:rsidRDefault="00781061" w:rsidP="001234A0">
            <w:pPr>
              <w:pStyle w:val="NoSpacing"/>
              <w:rPr>
                <w:u w:color="FF0000"/>
              </w:rPr>
            </w:pPr>
          </w:p>
        </w:tc>
        <w:tc>
          <w:tcPr>
            <w:tcW w:w="6520" w:type="dxa"/>
          </w:tcPr>
          <w:p w:rsidR="00781061" w:rsidRPr="00636529" w:rsidRDefault="00781061" w:rsidP="001234A0">
            <w:pPr>
              <w:pStyle w:val="NoSpacing"/>
              <w:rPr>
                <w:u w:color="FF0000"/>
              </w:rPr>
            </w:pPr>
            <w:r>
              <w:rPr>
                <w:u w:color="FF0000"/>
              </w:rPr>
              <w:t>Usporedba problema i izazova u drugim jedinicama lokalne samouprave koje provode planove upravljanja zaštićenih povijesnih jezgri</w:t>
            </w:r>
          </w:p>
        </w:tc>
      </w:tr>
      <w:tr w:rsidR="00781061" w:rsidRPr="00636529" w:rsidTr="001234A0">
        <w:trPr>
          <w:trHeight w:val="418"/>
        </w:trPr>
        <w:tc>
          <w:tcPr>
            <w:tcW w:w="2331" w:type="dxa"/>
          </w:tcPr>
          <w:p w:rsidR="00781061" w:rsidRPr="00636529" w:rsidRDefault="00781061" w:rsidP="001234A0">
            <w:pPr>
              <w:pStyle w:val="NoSpacing"/>
              <w:rPr>
                <w:u w:color="FF0000"/>
              </w:rPr>
            </w:pPr>
            <w:r>
              <w:rPr>
                <w:u w:color="FF0000"/>
              </w:rPr>
              <w:t xml:space="preserve">Izrada mogućih institucionalnih, zakonodavnih i operativnih rješenja </w:t>
            </w:r>
          </w:p>
        </w:tc>
        <w:tc>
          <w:tcPr>
            <w:tcW w:w="6520" w:type="dxa"/>
          </w:tcPr>
          <w:p w:rsidR="00781061" w:rsidRDefault="00781061" w:rsidP="001234A0">
            <w:pPr>
              <w:pStyle w:val="NoSpacing"/>
              <w:rPr>
                <w:u w:color="FF0000"/>
              </w:rPr>
            </w:pPr>
            <w:r>
              <w:rPr>
                <w:u w:color="FF0000"/>
              </w:rPr>
              <w:t xml:space="preserve">Prijedlog mjera izrađen u procesu razmjene znanja različitih dionika </w:t>
            </w:r>
          </w:p>
          <w:p w:rsidR="00781061" w:rsidRDefault="00781061" w:rsidP="001234A0">
            <w:pPr>
              <w:pStyle w:val="NoSpacing"/>
              <w:rPr>
                <w:u w:color="FF0000"/>
              </w:rPr>
            </w:pPr>
            <w:r>
              <w:rPr>
                <w:u w:color="FF0000"/>
              </w:rPr>
              <w:t xml:space="preserve">Nacrt konačnog prijedloga raspravljen sa relevantnim </w:t>
            </w:r>
            <w:proofErr w:type="spellStart"/>
            <w:r>
              <w:rPr>
                <w:u w:color="FF0000"/>
              </w:rPr>
              <w:t>tjelima</w:t>
            </w:r>
            <w:proofErr w:type="spellEnd"/>
            <w:r>
              <w:rPr>
                <w:u w:color="FF0000"/>
              </w:rPr>
              <w:t xml:space="preserve"> </w:t>
            </w:r>
          </w:p>
          <w:p w:rsidR="00781061" w:rsidRDefault="00781061" w:rsidP="001234A0">
            <w:pPr>
              <w:pStyle w:val="NoSpacing"/>
              <w:rPr>
                <w:u w:color="FF0000"/>
              </w:rPr>
            </w:pPr>
          </w:p>
          <w:p w:rsidR="00781061" w:rsidRDefault="00781061" w:rsidP="001234A0">
            <w:pPr>
              <w:pStyle w:val="NoSpacing"/>
              <w:rPr>
                <w:u w:color="FF0000"/>
              </w:rPr>
            </w:pPr>
          </w:p>
        </w:tc>
      </w:tr>
      <w:tr w:rsidR="00781061" w:rsidRPr="00636529" w:rsidTr="001234A0">
        <w:trPr>
          <w:trHeight w:val="20"/>
        </w:trPr>
        <w:tc>
          <w:tcPr>
            <w:tcW w:w="2331" w:type="dxa"/>
            <w:vMerge w:val="restart"/>
          </w:tcPr>
          <w:p w:rsidR="00781061" w:rsidRPr="00636529" w:rsidRDefault="00781061" w:rsidP="001234A0">
            <w:pPr>
              <w:pStyle w:val="NoSpacing"/>
              <w:rPr>
                <w:u w:color="FF0000"/>
              </w:rPr>
            </w:pPr>
            <w:r>
              <w:rPr>
                <w:u w:color="FF0000"/>
              </w:rPr>
              <w:t>Izrada izvješća o provedbi</w:t>
            </w:r>
          </w:p>
        </w:tc>
        <w:tc>
          <w:tcPr>
            <w:tcW w:w="6520" w:type="dxa"/>
          </w:tcPr>
          <w:p w:rsidR="00781061" w:rsidRPr="00636529" w:rsidRDefault="00781061" w:rsidP="001234A0">
            <w:pPr>
              <w:pStyle w:val="NoSpacing"/>
            </w:pPr>
            <w:r>
              <w:rPr>
                <w:u w:color="FF0000"/>
              </w:rPr>
              <w:t xml:space="preserve">Izvješće o provedbi Plana aktivnosti </w:t>
            </w:r>
          </w:p>
        </w:tc>
      </w:tr>
      <w:tr w:rsidR="00781061" w:rsidRPr="00636529" w:rsidTr="001234A0">
        <w:trPr>
          <w:trHeight w:val="233"/>
        </w:trPr>
        <w:tc>
          <w:tcPr>
            <w:tcW w:w="2331" w:type="dxa"/>
            <w:vMerge/>
          </w:tcPr>
          <w:p w:rsidR="00781061" w:rsidRPr="00636529" w:rsidRDefault="00781061" w:rsidP="001234A0">
            <w:pPr>
              <w:pStyle w:val="NoSpacing"/>
            </w:pPr>
          </w:p>
        </w:tc>
        <w:tc>
          <w:tcPr>
            <w:tcW w:w="6520" w:type="dxa"/>
          </w:tcPr>
          <w:p w:rsidR="00781061" w:rsidRPr="00636529" w:rsidRDefault="00781061" w:rsidP="001234A0">
            <w:pPr>
              <w:pStyle w:val="NoSpacing"/>
            </w:pPr>
            <w:r w:rsidRPr="00636529">
              <w:t>Preporuka sustava praćenja rezultata</w:t>
            </w:r>
            <w:r>
              <w:t xml:space="preserve"> provedbe mjera</w:t>
            </w:r>
          </w:p>
        </w:tc>
      </w:tr>
    </w:tbl>
    <w:p w:rsidR="00781061" w:rsidRDefault="00781061" w:rsidP="00781061">
      <w:pPr>
        <w:pStyle w:val="NoSpacing"/>
        <w:jc w:val="both"/>
      </w:pPr>
    </w:p>
    <w:p w:rsidR="00781061" w:rsidRDefault="00781061" w:rsidP="00781061">
      <w:pPr>
        <w:pStyle w:val="NoSpacing"/>
        <w:jc w:val="both"/>
      </w:pPr>
    </w:p>
    <w:p w:rsidR="00781061" w:rsidRDefault="00781061" w:rsidP="00781061">
      <w:pPr>
        <w:pStyle w:val="NoSpacing"/>
        <w:jc w:val="both"/>
      </w:pPr>
    </w:p>
    <w:p w:rsidR="00781061" w:rsidRDefault="00781061" w:rsidP="00781061">
      <w:pPr>
        <w:pStyle w:val="NoSpacing"/>
        <w:jc w:val="both"/>
      </w:pPr>
      <w:r w:rsidRPr="0036423E">
        <w:t>NAČIN IZVRŠENJA</w:t>
      </w:r>
      <w:r>
        <w:t xml:space="preserve">        </w:t>
      </w:r>
    </w:p>
    <w:p w:rsidR="00781061" w:rsidRDefault="00781061" w:rsidP="00781061">
      <w:pPr>
        <w:pStyle w:val="NoSpacing"/>
        <w:jc w:val="both"/>
      </w:pPr>
      <w:r>
        <w:t xml:space="preserve">     </w:t>
      </w:r>
    </w:p>
    <w:p w:rsidR="00781061" w:rsidRPr="00636529" w:rsidRDefault="00781061" w:rsidP="00781061">
      <w:pPr>
        <w:pStyle w:val="NoSpacing"/>
        <w:jc w:val="both"/>
      </w:pPr>
      <w:r w:rsidRPr="00636529">
        <w:t>Unaprjeđenje institucionalnih kapaciteta u upravljanju svjetskim dobrom UNESCO-a „Starim gradom Dubrovnikom“</w:t>
      </w:r>
      <w:r>
        <w:t xml:space="preserve"> </w:t>
      </w:r>
      <w:r w:rsidRPr="00636529">
        <w:t>prov</w:t>
      </w:r>
      <w:r>
        <w:t>odi se</w:t>
      </w:r>
      <w:r w:rsidRPr="00636529">
        <w:t xml:space="preserve"> kroz:</w:t>
      </w:r>
    </w:p>
    <w:p w:rsidR="00781061" w:rsidRPr="00636529" w:rsidRDefault="00781061" w:rsidP="00781061">
      <w:pPr>
        <w:pStyle w:val="NoSpacing"/>
        <w:numPr>
          <w:ilvl w:val="0"/>
          <w:numId w:val="11"/>
        </w:numPr>
        <w:jc w:val="both"/>
      </w:pPr>
      <w:r w:rsidRPr="00636529">
        <w:t>jačanje znanja, sposobnosti i vještina osoba s izravnom odgovornošću očuvanja i upravljanja baštinom,</w:t>
      </w:r>
    </w:p>
    <w:p w:rsidR="00781061" w:rsidRPr="007E3300" w:rsidRDefault="00781061" w:rsidP="00781061">
      <w:pPr>
        <w:pStyle w:val="NoSpacing"/>
        <w:numPr>
          <w:ilvl w:val="0"/>
          <w:numId w:val="11"/>
        </w:numPr>
        <w:jc w:val="both"/>
        <w:rPr>
          <w:u w:color="FF0000"/>
        </w:rPr>
      </w:pPr>
      <w:r w:rsidRPr="00636529">
        <w:t>unaprjeđenje institucionalnih struktura i procesa osnaživanjem donosit</w:t>
      </w:r>
      <w:r>
        <w:t>elja odluka i kreatora politika,</w:t>
      </w:r>
    </w:p>
    <w:p w:rsidR="00781061" w:rsidRDefault="00781061" w:rsidP="00781061">
      <w:pPr>
        <w:pStyle w:val="NoSpacing"/>
        <w:rPr>
          <w:u w:color="FF0000"/>
        </w:rPr>
      </w:pPr>
      <w:r w:rsidRPr="007E3300">
        <w:rPr>
          <w:u w:color="FF0000"/>
        </w:rPr>
        <w:t xml:space="preserve">a sve putem radionica sa institucionalnim dionicima (Grad Dubrovnik, svi upravni odjeli, Konzervatorski odjel u Dubrovniku, Zavod za obnovu Dubrovnika, JU Rezervat Lokrum, Zavod za prostorno uređenje </w:t>
      </w:r>
      <w:proofErr w:type="spellStart"/>
      <w:r w:rsidRPr="007E3300">
        <w:rPr>
          <w:u w:color="FF0000"/>
        </w:rPr>
        <w:t>DNŽ</w:t>
      </w:r>
      <w:proofErr w:type="spellEnd"/>
      <w:r w:rsidRPr="007E3300">
        <w:rPr>
          <w:u w:color="FF0000"/>
        </w:rPr>
        <w:t>, Dubrovačka razvojna agencija DURA, Dubrovačka baština d.o.o.</w:t>
      </w:r>
      <w:r>
        <w:rPr>
          <w:u w:color="FF0000"/>
        </w:rPr>
        <w:t xml:space="preserve">, </w:t>
      </w:r>
      <w:r w:rsidRPr="007E3300">
        <w:rPr>
          <w:u w:color="FF0000"/>
        </w:rPr>
        <w:t xml:space="preserve">javne ustanove i trgovačka društva Grada Dubrovnika - TUP, muzeji, </w:t>
      </w:r>
      <w:r>
        <w:rPr>
          <w:u w:color="FF0000"/>
        </w:rPr>
        <w:t>… uz obvezu izrađivaču da, u dogovoru s Naručiteljem, sagledavanjem Plana upravljanja, eventualno uključi i druge).</w:t>
      </w:r>
    </w:p>
    <w:p w:rsidR="00781061" w:rsidRDefault="00781061" w:rsidP="00781061">
      <w:pPr>
        <w:pStyle w:val="NoSpacing"/>
        <w:rPr>
          <w:u w:color="FF0000"/>
        </w:rPr>
      </w:pPr>
    </w:p>
    <w:p w:rsidR="00781061" w:rsidRPr="00636529" w:rsidRDefault="00781061" w:rsidP="00781061">
      <w:pPr>
        <w:pStyle w:val="NoSpacing"/>
        <w:rPr>
          <w:b/>
          <w:bCs/>
          <w:u w:color="FF0000"/>
        </w:rPr>
      </w:pPr>
    </w:p>
    <w:p w:rsidR="00781061" w:rsidRPr="004F6359" w:rsidRDefault="00781061" w:rsidP="00781061">
      <w:pPr>
        <w:pStyle w:val="NoSpacing"/>
        <w:jc w:val="both"/>
        <w:rPr>
          <w:u w:color="FF0000"/>
          <w:shd w:val="clear" w:color="auto" w:fill="FFFFFF"/>
        </w:rPr>
      </w:pPr>
      <w:r w:rsidRPr="004F6359">
        <w:rPr>
          <w:u w:color="FF0000"/>
          <w:shd w:val="clear" w:color="auto" w:fill="FFFFFF"/>
        </w:rPr>
        <w:t>Izrađivač će morati poduzeti najmanje sljedeće:</w:t>
      </w:r>
    </w:p>
    <w:p w:rsidR="00781061" w:rsidRPr="0036423E" w:rsidRDefault="00781061" w:rsidP="00781061">
      <w:pPr>
        <w:pStyle w:val="NoSpacing"/>
        <w:numPr>
          <w:ilvl w:val="0"/>
          <w:numId w:val="10"/>
        </w:numPr>
        <w:jc w:val="both"/>
        <w:rPr>
          <w:u w:color="FF0000"/>
          <w:shd w:val="clear" w:color="auto" w:fill="FFFFFF"/>
        </w:rPr>
      </w:pPr>
      <w:r w:rsidRPr="0036423E">
        <w:rPr>
          <w:u w:color="FF0000"/>
          <w:shd w:val="clear" w:color="auto" w:fill="FFFFFF"/>
        </w:rPr>
        <w:t xml:space="preserve">Održati najmanje pet (5) radionica o Planu upravljanja </w:t>
      </w:r>
    </w:p>
    <w:p w:rsidR="00781061" w:rsidRPr="0036423E" w:rsidRDefault="00781061" w:rsidP="00781061">
      <w:pPr>
        <w:pStyle w:val="NoSpacing"/>
        <w:numPr>
          <w:ilvl w:val="0"/>
          <w:numId w:val="10"/>
        </w:numPr>
        <w:jc w:val="both"/>
        <w:rPr>
          <w:u w:color="FF0000"/>
          <w:shd w:val="clear" w:color="auto" w:fill="FFFFFF"/>
        </w:rPr>
      </w:pPr>
      <w:r w:rsidRPr="0036423E">
        <w:rPr>
          <w:u w:color="FF0000"/>
          <w:shd w:val="clear" w:color="auto" w:fill="FFFFFF"/>
        </w:rPr>
        <w:t xml:space="preserve">Održati najmanje pet (5) radionica o Strategiji izgradnje kapaciteta </w:t>
      </w:r>
    </w:p>
    <w:p w:rsidR="00781061" w:rsidRPr="0036423E" w:rsidRDefault="00781061" w:rsidP="00781061">
      <w:pPr>
        <w:pStyle w:val="NoSpacing"/>
        <w:numPr>
          <w:ilvl w:val="0"/>
          <w:numId w:val="10"/>
        </w:numPr>
        <w:jc w:val="both"/>
      </w:pPr>
      <w:r w:rsidRPr="0036423E">
        <w:rPr>
          <w:u w:color="FF0000"/>
          <w:shd w:val="clear" w:color="auto" w:fill="FFFFFF"/>
        </w:rPr>
        <w:t>Održati najmanje pet (5) sastanaka sa Zavodom kako bi se raspravio status projekta, te eventualna pitanja</w:t>
      </w:r>
    </w:p>
    <w:p w:rsidR="00781061" w:rsidRPr="0036423E" w:rsidRDefault="00781061" w:rsidP="00781061">
      <w:pPr>
        <w:pStyle w:val="NoSpacing"/>
        <w:numPr>
          <w:ilvl w:val="0"/>
          <w:numId w:val="10"/>
        </w:numPr>
        <w:jc w:val="both"/>
      </w:pPr>
      <w:r w:rsidRPr="0036423E">
        <w:rPr>
          <w:u w:color="FF0000"/>
          <w:shd w:val="clear" w:color="auto" w:fill="FFFFFF"/>
        </w:rPr>
        <w:t>Održati najmanje dva (2) informativna sastanka za donosioce odluka o procesu i izvješćivanju o nalazima</w:t>
      </w:r>
    </w:p>
    <w:p w:rsidR="00781061" w:rsidRPr="0036423E" w:rsidRDefault="00781061" w:rsidP="00781061">
      <w:pPr>
        <w:pStyle w:val="NoSpacing"/>
        <w:jc w:val="both"/>
        <w:rPr>
          <w:u w:color="FF0000"/>
          <w:shd w:val="clear" w:color="auto" w:fill="FFFFFF"/>
        </w:rPr>
      </w:pPr>
    </w:p>
    <w:p w:rsidR="00781061" w:rsidRPr="0036423E" w:rsidRDefault="00781061" w:rsidP="00781061">
      <w:pPr>
        <w:pStyle w:val="NoSpacing"/>
        <w:jc w:val="both"/>
      </w:pPr>
      <w:r w:rsidRPr="0036423E">
        <w:rPr>
          <w:u w:color="FF0000"/>
          <w:shd w:val="clear" w:color="auto" w:fill="FFFFFF"/>
        </w:rPr>
        <w:t>Od Izrađivača se traži da izradi kvalitetne grafičke prezentacije i materijale kao podlogu radionicama, u fazi pripreme i izvještavanja.</w:t>
      </w:r>
    </w:p>
    <w:p w:rsidR="00781061" w:rsidRPr="00636529" w:rsidRDefault="00781061" w:rsidP="00781061">
      <w:pPr>
        <w:pStyle w:val="NoSpacing"/>
      </w:pPr>
    </w:p>
    <w:p w:rsidR="00781061" w:rsidRPr="003B55E3" w:rsidRDefault="00781061" w:rsidP="00781061">
      <w:pPr>
        <w:pStyle w:val="NoSpacing"/>
        <w:rPr>
          <w:rFonts w:asciiTheme="minorHAnsi" w:hAnsiTheme="minorHAnsi"/>
          <w:sz w:val="24"/>
          <w:szCs w:val="24"/>
        </w:rPr>
      </w:pPr>
    </w:p>
    <w:p w:rsidR="00CA15D6" w:rsidRPr="00781061" w:rsidRDefault="00CA15D6" w:rsidP="00781061"/>
    <w:sectPr w:rsidR="00CA15D6" w:rsidRPr="00781061" w:rsidSect="00DA1B4C">
      <w:headerReference w:type="even" r:id="rId8"/>
      <w:headerReference w:type="default" r:id="rId9"/>
      <w:headerReference w:type="first" r:id="rId10"/>
      <w:pgSz w:w="11900" w:h="16840"/>
      <w:pgMar w:top="1418" w:right="1348" w:bottom="1423" w:left="1701" w:header="284"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28" w:rsidRDefault="00A21C28">
      <w:pPr>
        <w:spacing w:after="0" w:line="240" w:lineRule="auto"/>
      </w:pPr>
      <w:r>
        <w:separator/>
      </w:r>
    </w:p>
  </w:endnote>
  <w:endnote w:type="continuationSeparator" w:id="0">
    <w:p w:rsidR="00A21C28" w:rsidRDefault="00A2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28" w:rsidRDefault="00A21C28">
      <w:pPr>
        <w:spacing w:after="0" w:line="240" w:lineRule="auto"/>
      </w:pPr>
      <w:r>
        <w:separator/>
      </w:r>
    </w:p>
  </w:footnote>
  <w:footnote w:type="continuationSeparator" w:id="0">
    <w:p w:rsidR="00A21C28" w:rsidRDefault="00A21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124" w:rsidRDefault="00D4441F">
    <w:pPr>
      <w:spacing w:after="0"/>
      <w:ind w:right="-277"/>
      <w:jc w:val="right"/>
    </w:pPr>
    <w:r>
      <w:rPr>
        <w:noProof/>
        <w:lang w:val="hr-HR" w:eastAsia="hr-HR"/>
      </w:rPr>
      <w:drawing>
        <wp:anchor distT="0" distB="0" distL="114300" distR="114300" simplePos="0" relativeHeight="251659264" behindDoc="0" locked="0" layoutInCell="1" allowOverlap="0" wp14:anchorId="0C1C978D" wp14:editId="3FEEB77E">
          <wp:simplePos x="0" y="0"/>
          <wp:positionH relativeFrom="page">
            <wp:posOffset>1080770</wp:posOffset>
          </wp:positionH>
          <wp:positionV relativeFrom="page">
            <wp:posOffset>448310</wp:posOffset>
          </wp:positionV>
          <wp:extent cx="5763895" cy="943610"/>
          <wp:effectExtent l="0" t="0" r="8255" b="889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94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20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6E" w:rsidRDefault="0056781E" w:rsidP="00CA576E">
    <w:pPr>
      <w:spacing w:after="0"/>
      <w:ind w:right="-277"/>
      <w:jc w:val="right"/>
    </w:pPr>
    <w:sdt>
      <w:sdtPr>
        <w:id w:val="568917768"/>
        <w:docPartObj>
          <w:docPartGallery w:val="Page Numbers (Margins)"/>
          <w:docPartUnique/>
        </w:docPartObj>
      </w:sdtPr>
      <w:sdtEndPr/>
      <w:sdtContent>
        <w:r w:rsidR="00EC0E0A">
          <w:rPr>
            <w:noProof/>
            <w:lang w:val="hr-HR" w:eastAsia="hr-HR"/>
          </w:rPr>
          <mc:AlternateContent>
            <mc:Choice Requires="wps">
              <w:drawing>
                <wp:anchor distT="0" distB="0" distL="114300" distR="114300" simplePos="0" relativeHeight="251661312" behindDoc="0" locked="0" layoutInCell="0" allowOverlap="1" wp14:anchorId="6F5B44E2" wp14:editId="371474E6">
                  <wp:simplePos x="0" y="0"/>
                  <wp:positionH relativeFrom="rightMargin">
                    <wp:align>right</wp:align>
                  </wp:positionH>
                  <wp:positionV relativeFrom="margin">
                    <wp:align>center</wp:align>
                  </wp:positionV>
                  <wp:extent cx="727710" cy="329565"/>
                  <wp:effectExtent l="0" t="0" r="0" b="381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E0A" w:rsidRDefault="00EC0E0A">
                              <w:pPr>
                                <w:pBdr>
                                  <w:bottom w:val="single" w:sz="4" w:space="1" w:color="auto"/>
                                </w:pBdr>
                              </w:pPr>
                              <w:r>
                                <w:fldChar w:fldCharType="begin"/>
                              </w:r>
                              <w:r>
                                <w:instrText xml:space="preserve"> PAGE   \* MERGEFORMAT </w:instrText>
                              </w:r>
                              <w:r>
                                <w:fldChar w:fldCharType="separate"/>
                              </w:r>
                              <w:r w:rsidR="0056781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F5B44E2" id="Rectangle 25"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poggIAAAc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" o:allowincell="f" stroked="f">
                  <v:textbox>
                    <w:txbxContent>
                      <w:p w:rsidR="00EC0E0A" w:rsidRDefault="00EC0E0A">
                        <w:pPr>
                          <w:pBdr>
                            <w:bottom w:val="single" w:sz="4" w:space="1" w:color="auto"/>
                          </w:pBdr>
                        </w:pPr>
                        <w:r>
                          <w:fldChar w:fldCharType="begin"/>
                        </w:r>
                        <w:r>
                          <w:instrText xml:space="preserve"> PAGE   \* MERGEFORMAT </w:instrText>
                        </w:r>
                        <w:r>
                          <w:fldChar w:fldCharType="separate"/>
                        </w:r>
                        <w:r w:rsidR="0056781E">
                          <w:rPr>
                            <w:noProof/>
                          </w:rPr>
                          <w:t>1</w:t>
                        </w:r>
                        <w:r>
                          <w:rPr>
                            <w:noProof/>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6E" w:rsidRPr="0048244D" w:rsidRDefault="00CA576E" w:rsidP="00CA576E">
    <w:pPr>
      <w:spacing w:after="0"/>
      <w:ind w:right="-277"/>
      <w:jc w:val="right"/>
      <w:rPr>
        <w:sz w:val="16"/>
        <w:lang w:val="hr-HR"/>
      </w:rPr>
    </w:pPr>
    <w:r>
      <w:rPr>
        <w:noProof/>
        <w:lang w:val="hr-HR" w:eastAsia="hr-HR"/>
      </w:rPr>
      <w:drawing>
        <wp:anchor distT="0" distB="0" distL="114300" distR="114300" simplePos="0" relativeHeight="251662336" behindDoc="0" locked="0" layoutInCell="1" allowOverlap="1" wp14:anchorId="3B40610B" wp14:editId="4BDB811B">
          <wp:simplePos x="0" y="0"/>
          <wp:positionH relativeFrom="margin">
            <wp:align>left</wp:align>
          </wp:positionH>
          <wp:positionV relativeFrom="paragraph">
            <wp:posOffset>57785</wp:posOffset>
          </wp:positionV>
          <wp:extent cx="2315210" cy="371475"/>
          <wp:effectExtent l="0" t="0" r="0" b="9525"/>
          <wp:wrapThrough wrapText="bothSides">
            <wp:wrapPolygon edited="0">
              <wp:start x="711" y="0"/>
              <wp:lineTo x="178" y="6646"/>
              <wp:lineTo x="178" y="14400"/>
              <wp:lineTo x="711" y="21046"/>
              <wp:lineTo x="2488" y="21046"/>
              <wp:lineTo x="21327" y="14400"/>
              <wp:lineTo x="21327" y="6646"/>
              <wp:lineTo x="2488" y="0"/>
              <wp:lineTo x="711"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ZOD_CB_H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210" cy="371475"/>
                  </a:xfrm>
                  <a:prstGeom prst="rect">
                    <a:avLst/>
                  </a:prstGeom>
                </pic:spPr>
              </pic:pic>
            </a:graphicData>
          </a:graphic>
        </wp:anchor>
      </w:drawing>
    </w:r>
    <w:r w:rsidR="00D96207">
      <w:t xml:space="preserve"> </w:t>
    </w:r>
    <w:r w:rsidRPr="0048244D">
      <w:rPr>
        <w:lang w:val="hr-HR"/>
      </w:rPr>
      <w:ptab w:relativeTo="margin" w:alignment="center" w:leader="none"/>
    </w:r>
    <w:r w:rsidRPr="0048244D">
      <w:rPr>
        <w:sz w:val="16"/>
        <w:lang w:val="hr-HR"/>
      </w:rPr>
      <w:ptab w:relativeTo="margin" w:alignment="right" w:leader="none"/>
    </w:r>
    <w:r w:rsidRPr="0048244D">
      <w:rPr>
        <w:sz w:val="16"/>
        <w:lang w:val="hr-HR"/>
      </w:rPr>
      <w:t xml:space="preserve">Dokumentacija o </w:t>
    </w:r>
    <w:r w:rsidR="00846A33">
      <w:rPr>
        <w:sz w:val="16"/>
        <w:lang w:val="hr-HR"/>
      </w:rPr>
      <w:t xml:space="preserve">nabavi </w:t>
    </w:r>
    <w:proofErr w:type="spellStart"/>
    <w:r w:rsidR="00846A33">
      <w:rPr>
        <w:sz w:val="16"/>
        <w:lang w:val="hr-HR"/>
      </w:rPr>
      <w:t>BN</w:t>
    </w:r>
    <w:proofErr w:type="spellEnd"/>
    <w:r w:rsidR="00846A33">
      <w:rPr>
        <w:sz w:val="16"/>
        <w:lang w:val="hr-HR"/>
      </w:rPr>
      <w:t xml:space="preserve"> 8</w:t>
    </w:r>
    <w:r w:rsidRPr="00273AB9">
      <w:rPr>
        <w:sz w:val="16"/>
        <w:lang w:val="hr-HR"/>
      </w:rPr>
      <w:t>/25</w:t>
    </w:r>
  </w:p>
  <w:p w:rsidR="00781061" w:rsidRDefault="00846A33" w:rsidP="00781061">
    <w:pPr>
      <w:spacing w:after="0"/>
      <w:ind w:right="-277"/>
      <w:jc w:val="right"/>
      <w:rPr>
        <w:sz w:val="16"/>
      </w:rPr>
    </w:pPr>
    <w:proofErr w:type="spellStart"/>
    <w:r w:rsidRPr="00846A33">
      <w:rPr>
        <w:sz w:val="16"/>
      </w:rPr>
      <w:t>Unaprjeđenje</w:t>
    </w:r>
    <w:proofErr w:type="spellEnd"/>
    <w:r w:rsidRPr="00846A33">
      <w:rPr>
        <w:sz w:val="16"/>
      </w:rPr>
      <w:t xml:space="preserve"> </w:t>
    </w:r>
    <w:proofErr w:type="spellStart"/>
    <w:r w:rsidRPr="00846A33">
      <w:rPr>
        <w:sz w:val="16"/>
      </w:rPr>
      <w:t>institucionalnih</w:t>
    </w:r>
    <w:proofErr w:type="spellEnd"/>
    <w:r w:rsidRPr="00846A33">
      <w:rPr>
        <w:sz w:val="16"/>
      </w:rPr>
      <w:t xml:space="preserve"> </w:t>
    </w:r>
    <w:proofErr w:type="spellStart"/>
    <w:r w:rsidRPr="00846A33">
      <w:rPr>
        <w:sz w:val="16"/>
      </w:rPr>
      <w:t>kapaciteta</w:t>
    </w:r>
    <w:proofErr w:type="spellEnd"/>
    <w:r w:rsidRPr="00846A33">
      <w:rPr>
        <w:sz w:val="16"/>
      </w:rPr>
      <w:t xml:space="preserve"> </w:t>
    </w:r>
    <w:proofErr w:type="spellStart"/>
    <w:r w:rsidRPr="00846A33">
      <w:rPr>
        <w:sz w:val="16"/>
      </w:rPr>
      <w:t>javnih</w:t>
    </w:r>
    <w:proofErr w:type="spellEnd"/>
    <w:r w:rsidRPr="00846A33">
      <w:rPr>
        <w:sz w:val="16"/>
      </w:rPr>
      <w:t xml:space="preserve"> </w:t>
    </w:r>
    <w:proofErr w:type="spellStart"/>
    <w:r w:rsidRPr="00846A33">
      <w:rPr>
        <w:sz w:val="16"/>
      </w:rPr>
      <w:t>dionika</w:t>
    </w:r>
    <w:proofErr w:type="spellEnd"/>
    <w:r w:rsidRPr="00846A33">
      <w:rPr>
        <w:sz w:val="16"/>
      </w:rPr>
      <w:t xml:space="preserve"> </w:t>
    </w:r>
  </w:p>
  <w:p w:rsidR="00787124" w:rsidRDefault="00846A33" w:rsidP="00781061">
    <w:pPr>
      <w:spacing w:after="0"/>
      <w:ind w:right="-277"/>
      <w:jc w:val="right"/>
    </w:pPr>
    <w:proofErr w:type="gramStart"/>
    <w:r w:rsidRPr="00846A33">
      <w:rPr>
        <w:sz w:val="16"/>
      </w:rPr>
      <w:t>u</w:t>
    </w:r>
    <w:proofErr w:type="gramEnd"/>
    <w:r w:rsidRPr="00846A33">
      <w:rPr>
        <w:sz w:val="16"/>
      </w:rPr>
      <w:t xml:space="preserve"> upravljanja </w:t>
    </w:r>
    <w:proofErr w:type="spellStart"/>
    <w:r w:rsidRPr="00846A33">
      <w:rPr>
        <w:sz w:val="16"/>
      </w:rPr>
      <w:t>svjetskim</w:t>
    </w:r>
    <w:proofErr w:type="spellEnd"/>
    <w:r w:rsidRPr="00846A33">
      <w:rPr>
        <w:sz w:val="16"/>
      </w:rPr>
      <w:t xml:space="preserve"> </w:t>
    </w:r>
    <w:proofErr w:type="spellStart"/>
    <w:r w:rsidRPr="00846A33">
      <w:rPr>
        <w:sz w:val="16"/>
      </w:rPr>
      <w:t>dobrom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A90"/>
    <w:multiLevelType w:val="hybridMultilevel"/>
    <w:tmpl w:val="F302321C"/>
    <w:lvl w:ilvl="0" w:tplc="65BC360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6205EA"/>
    <w:multiLevelType w:val="hybridMultilevel"/>
    <w:tmpl w:val="1376F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981742"/>
    <w:multiLevelType w:val="hybridMultilevel"/>
    <w:tmpl w:val="CB04F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315C8"/>
    <w:multiLevelType w:val="multilevel"/>
    <w:tmpl w:val="50FAFEC2"/>
    <w:lvl w:ilvl="0">
      <w:start w:val="1"/>
      <w:numFmt w:val="decimal"/>
      <w:lvlText w:val="%1."/>
      <w:lvlJc w:val="left"/>
      <w:pPr>
        <w:ind w:left="1069"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DF45E79"/>
    <w:multiLevelType w:val="hybridMultilevel"/>
    <w:tmpl w:val="4914E782"/>
    <w:lvl w:ilvl="0" w:tplc="2B36375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64C7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E67C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E55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02FF2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94E2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B693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EC1E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8426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EF7CA1"/>
    <w:multiLevelType w:val="multilevel"/>
    <w:tmpl w:val="60D425E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Arial" w:hAnsi="Times New Roman" w:cs="Times New Roman" w:hint="default"/>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C36DB5"/>
    <w:multiLevelType w:val="hybridMultilevel"/>
    <w:tmpl w:val="22D6ECBC"/>
    <w:lvl w:ilvl="0" w:tplc="95A2DA84">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C924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402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EDC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46ED3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CEF8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F00E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6BC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6E168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681D05"/>
    <w:multiLevelType w:val="hybridMultilevel"/>
    <w:tmpl w:val="0B52B0BE"/>
    <w:lvl w:ilvl="0" w:tplc="2982C480">
      <w:start w:val="1"/>
      <w:numFmt w:val="decimal"/>
      <w:lvlText w:val="%1."/>
      <w:lvlJc w:val="left"/>
      <w:pPr>
        <w:ind w:left="465" w:hanging="360"/>
      </w:pPr>
      <w:rPr>
        <w:rFonts w:hint="default"/>
        <w:sz w:val="22"/>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8" w15:restartNumberingAfterBreak="0">
    <w:nsid w:val="6CA13ACC"/>
    <w:multiLevelType w:val="hybridMultilevel"/>
    <w:tmpl w:val="A670B808"/>
    <w:lvl w:ilvl="0" w:tplc="9E2A53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07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C0D9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6C3E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20A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B26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5839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C0D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0CBE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F73DF7"/>
    <w:multiLevelType w:val="multilevel"/>
    <w:tmpl w:val="BB4CE2F8"/>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50"/>
      </w:pPr>
      <w:rPr>
        <w:rFonts w:ascii="Times New Roman" w:eastAsia="Arial" w:hAnsi="Times New Roman" w:cs="Times New Roman" w:hint="default"/>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9E00C2"/>
    <w:multiLevelType w:val="hybridMultilevel"/>
    <w:tmpl w:val="36A4814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9"/>
  </w:num>
  <w:num w:numId="6">
    <w:abstractNumId w:val="7"/>
  </w:num>
  <w:num w:numId="7">
    <w:abstractNumId w:val="3"/>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1F"/>
    <w:rsid w:val="000035AD"/>
    <w:rsid w:val="00006F62"/>
    <w:rsid w:val="00014194"/>
    <w:rsid w:val="00023867"/>
    <w:rsid w:val="00032418"/>
    <w:rsid w:val="0004223D"/>
    <w:rsid w:val="00063FBA"/>
    <w:rsid w:val="000736C6"/>
    <w:rsid w:val="00093604"/>
    <w:rsid w:val="00093DE2"/>
    <w:rsid w:val="00096305"/>
    <w:rsid w:val="000A0582"/>
    <w:rsid w:val="000A11B8"/>
    <w:rsid w:val="000B55D4"/>
    <w:rsid w:val="000C0A4B"/>
    <w:rsid w:val="000C388C"/>
    <w:rsid w:val="000C4D34"/>
    <w:rsid w:val="000E5C0C"/>
    <w:rsid w:val="000F0FED"/>
    <w:rsid w:val="000F1EC3"/>
    <w:rsid w:val="00101BA9"/>
    <w:rsid w:val="001033EB"/>
    <w:rsid w:val="0012547E"/>
    <w:rsid w:val="00136FC2"/>
    <w:rsid w:val="001415D1"/>
    <w:rsid w:val="00141FFE"/>
    <w:rsid w:val="0015696D"/>
    <w:rsid w:val="00167193"/>
    <w:rsid w:val="001B5050"/>
    <w:rsid w:val="001B6A4A"/>
    <w:rsid w:val="001D114A"/>
    <w:rsid w:val="001F4514"/>
    <w:rsid w:val="0021207E"/>
    <w:rsid w:val="00212648"/>
    <w:rsid w:val="00227AFB"/>
    <w:rsid w:val="00232930"/>
    <w:rsid w:val="002475FE"/>
    <w:rsid w:val="00265D62"/>
    <w:rsid w:val="002672D1"/>
    <w:rsid w:val="0027264A"/>
    <w:rsid w:val="00273AB9"/>
    <w:rsid w:val="002B48B0"/>
    <w:rsid w:val="002D3D93"/>
    <w:rsid w:val="002E7080"/>
    <w:rsid w:val="002E7A4F"/>
    <w:rsid w:val="002F0C16"/>
    <w:rsid w:val="00304920"/>
    <w:rsid w:val="0032495A"/>
    <w:rsid w:val="00333E55"/>
    <w:rsid w:val="0035316C"/>
    <w:rsid w:val="00354142"/>
    <w:rsid w:val="003610E9"/>
    <w:rsid w:val="00384D66"/>
    <w:rsid w:val="003A34E0"/>
    <w:rsid w:val="003B44AE"/>
    <w:rsid w:val="003B78D1"/>
    <w:rsid w:val="003C7381"/>
    <w:rsid w:val="003D1A9B"/>
    <w:rsid w:val="003D21B2"/>
    <w:rsid w:val="003F36E7"/>
    <w:rsid w:val="004322A3"/>
    <w:rsid w:val="00443504"/>
    <w:rsid w:val="004566A7"/>
    <w:rsid w:val="0046478E"/>
    <w:rsid w:val="00476AD1"/>
    <w:rsid w:val="0048244D"/>
    <w:rsid w:val="00491879"/>
    <w:rsid w:val="004926C3"/>
    <w:rsid w:val="004C744C"/>
    <w:rsid w:val="004D0C5A"/>
    <w:rsid w:val="004D37E2"/>
    <w:rsid w:val="004E5BC2"/>
    <w:rsid w:val="00513B2E"/>
    <w:rsid w:val="0052317C"/>
    <w:rsid w:val="00534C5E"/>
    <w:rsid w:val="005407B7"/>
    <w:rsid w:val="005660FF"/>
    <w:rsid w:val="0056781E"/>
    <w:rsid w:val="0057259A"/>
    <w:rsid w:val="0058775A"/>
    <w:rsid w:val="00591F7B"/>
    <w:rsid w:val="00592C35"/>
    <w:rsid w:val="005A4042"/>
    <w:rsid w:val="005A5B49"/>
    <w:rsid w:val="005C2177"/>
    <w:rsid w:val="005C3DBA"/>
    <w:rsid w:val="005C4742"/>
    <w:rsid w:val="005D4B66"/>
    <w:rsid w:val="005D4BC7"/>
    <w:rsid w:val="005D5D49"/>
    <w:rsid w:val="005D6A54"/>
    <w:rsid w:val="005F10D7"/>
    <w:rsid w:val="006229EF"/>
    <w:rsid w:val="006269A8"/>
    <w:rsid w:val="006313A4"/>
    <w:rsid w:val="006365C9"/>
    <w:rsid w:val="006471F0"/>
    <w:rsid w:val="00664064"/>
    <w:rsid w:val="00676F10"/>
    <w:rsid w:val="00684271"/>
    <w:rsid w:val="0068758F"/>
    <w:rsid w:val="00691B9C"/>
    <w:rsid w:val="006A1705"/>
    <w:rsid w:val="006A73DE"/>
    <w:rsid w:val="006B0568"/>
    <w:rsid w:val="006B2ED0"/>
    <w:rsid w:val="006C64B5"/>
    <w:rsid w:val="006E4B20"/>
    <w:rsid w:val="007012EE"/>
    <w:rsid w:val="007039B1"/>
    <w:rsid w:val="007142B3"/>
    <w:rsid w:val="00725481"/>
    <w:rsid w:val="00741C22"/>
    <w:rsid w:val="00751B22"/>
    <w:rsid w:val="007522EC"/>
    <w:rsid w:val="0075748A"/>
    <w:rsid w:val="00757F21"/>
    <w:rsid w:val="00781061"/>
    <w:rsid w:val="007B69ED"/>
    <w:rsid w:val="007C4350"/>
    <w:rsid w:val="007D45CB"/>
    <w:rsid w:val="007E4129"/>
    <w:rsid w:val="008029D9"/>
    <w:rsid w:val="008039CB"/>
    <w:rsid w:val="00805470"/>
    <w:rsid w:val="0080698E"/>
    <w:rsid w:val="008106CB"/>
    <w:rsid w:val="00813030"/>
    <w:rsid w:val="00813B77"/>
    <w:rsid w:val="00814526"/>
    <w:rsid w:val="00824B6B"/>
    <w:rsid w:val="00846A33"/>
    <w:rsid w:val="0085348A"/>
    <w:rsid w:val="00860212"/>
    <w:rsid w:val="00866085"/>
    <w:rsid w:val="0088479F"/>
    <w:rsid w:val="008869D7"/>
    <w:rsid w:val="008A4580"/>
    <w:rsid w:val="008D74DA"/>
    <w:rsid w:val="008E756E"/>
    <w:rsid w:val="008F2C69"/>
    <w:rsid w:val="00904FD6"/>
    <w:rsid w:val="009071B0"/>
    <w:rsid w:val="0092522D"/>
    <w:rsid w:val="009378D4"/>
    <w:rsid w:val="00941E97"/>
    <w:rsid w:val="00953788"/>
    <w:rsid w:val="009568EC"/>
    <w:rsid w:val="00972AD1"/>
    <w:rsid w:val="00976EB0"/>
    <w:rsid w:val="009773A1"/>
    <w:rsid w:val="009A34D4"/>
    <w:rsid w:val="009B3464"/>
    <w:rsid w:val="009C0A32"/>
    <w:rsid w:val="009C3173"/>
    <w:rsid w:val="009C43F0"/>
    <w:rsid w:val="009C60E1"/>
    <w:rsid w:val="009D0B10"/>
    <w:rsid w:val="009E400E"/>
    <w:rsid w:val="009E6179"/>
    <w:rsid w:val="00A01259"/>
    <w:rsid w:val="00A04F82"/>
    <w:rsid w:val="00A060FA"/>
    <w:rsid w:val="00A15ABE"/>
    <w:rsid w:val="00A21C28"/>
    <w:rsid w:val="00A23FA5"/>
    <w:rsid w:val="00A452C1"/>
    <w:rsid w:val="00A46F92"/>
    <w:rsid w:val="00A47928"/>
    <w:rsid w:val="00A61124"/>
    <w:rsid w:val="00A65871"/>
    <w:rsid w:val="00A665BC"/>
    <w:rsid w:val="00A7138F"/>
    <w:rsid w:val="00A7155C"/>
    <w:rsid w:val="00A7599E"/>
    <w:rsid w:val="00A9189D"/>
    <w:rsid w:val="00AA0C10"/>
    <w:rsid w:val="00AA561E"/>
    <w:rsid w:val="00AB4C22"/>
    <w:rsid w:val="00AD51FC"/>
    <w:rsid w:val="00B00081"/>
    <w:rsid w:val="00B030BD"/>
    <w:rsid w:val="00B06A8C"/>
    <w:rsid w:val="00B368CC"/>
    <w:rsid w:val="00B429FC"/>
    <w:rsid w:val="00B42C9A"/>
    <w:rsid w:val="00B55DCA"/>
    <w:rsid w:val="00B63A4F"/>
    <w:rsid w:val="00B74845"/>
    <w:rsid w:val="00B84F56"/>
    <w:rsid w:val="00BB2005"/>
    <w:rsid w:val="00BC7F76"/>
    <w:rsid w:val="00BD33FB"/>
    <w:rsid w:val="00BD4AC0"/>
    <w:rsid w:val="00BD6F48"/>
    <w:rsid w:val="00BE0F3F"/>
    <w:rsid w:val="00C03261"/>
    <w:rsid w:val="00C07B69"/>
    <w:rsid w:val="00C213F3"/>
    <w:rsid w:val="00C25495"/>
    <w:rsid w:val="00C269BB"/>
    <w:rsid w:val="00C32539"/>
    <w:rsid w:val="00C45860"/>
    <w:rsid w:val="00C47CB5"/>
    <w:rsid w:val="00C77BCD"/>
    <w:rsid w:val="00C83C67"/>
    <w:rsid w:val="00C870DE"/>
    <w:rsid w:val="00C9492C"/>
    <w:rsid w:val="00C97990"/>
    <w:rsid w:val="00CA15D6"/>
    <w:rsid w:val="00CA379D"/>
    <w:rsid w:val="00CA576E"/>
    <w:rsid w:val="00CA63C5"/>
    <w:rsid w:val="00CE30DB"/>
    <w:rsid w:val="00CE35F6"/>
    <w:rsid w:val="00CE41EA"/>
    <w:rsid w:val="00CF1A47"/>
    <w:rsid w:val="00D27D71"/>
    <w:rsid w:val="00D41F4F"/>
    <w:rsid w:val="00D4441F"/>
    <w:rsid w:val="00D47320"/>
    <w:rsid w:val="00D5203D"/>
    <w:rsid w:val="00D96207"/>
    <w:rsid w:val="00DA1B4C"/>
    <w:rsid w:val="00DA32FC"/>
    <w:rsid w:val="00DB7A69"/>
    <w:rsid w:val="00DD54DF"/>
    <w:rsid w:val="00DD5D14"/>
    <w:rsid w:val="00DE4121"/>
    <w:rsid w:val="00E3027E"/>
    <w:rsid w:val="00E30705"/>
    <w:rsid w:val="00E41980"/>
    <w:rsid w:val="00E424B3"/>
    <w:rsid w:val="00E46D66"/>
    <w:rsid w:val="00E52052"/>
    <w:rsid w:val="00E5584D"/>
    <w:rsid w:val="00E67001"/>
    <w:rsid w:val="00E73E10"/>
    <w:rsid w:val="00E8131B"/>
    <w:rsid w:val="00E9074C"/>
    <w:rsid w:val="00EA46C0"/>
    <w:rsid w:val="00EB7666"/>
    <w:rsid w:val="00EC0E0A"/>
    <w:rsid w:val="00EC5485"/>
    <w:rsid w:val="00EC6BA1"/>
    <w:rsid w:val="00ED4EE4"/>
    <w:rsid w:val="00EE13B8"/>
    <w:rsid w:val="00F0758C"/>
    <w:rsid w:val="00F13852"/>
    <w:rsid w:val="00F2172B"/>
    <w:rsid w:val="00F328F9"/>
    <w:rsid w:val="00F35E60"/>
    <w:rsid w:val="00F408AA"/>
    <w:rsid w:val="00F45BA0"/>
    <w:rsid w:val="00F55A07"/>
    <w:rsid w:val="00F57D6C"/>
    <w:rsid w:val="00F719E3"/>
    <w:rsid w:val="00F82ED3"/>
    <w:rsid w:val="00F977D1"/>
    <w:rsid w:val="00FB1873"/>
    <w:rsid w:val="00FC48F8"/>
    <w:rsid w:val="00FD3067"/>
    <w:rsid w:val="00F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36D936"/>
  <w15:docId w15:val="{CBC4F36A-346C-482F-9041-68B0BE33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A5"/>
  </w:style>
  <w:style w:type="paragraph" w:styleId="Heading4">
    <w:name w:val="heading 4"/>
    <w:basedOn w:val="Normal"/>
    <w:next w:val="Normal"/>
    <w:link w:val="Heading4Char"/>
    <w:uiPriority w:val="9"/>
    <w:unhideWhenUsed/>
    <w:qFormat/>
    <w:rsid w:val="00354142"/>
    <w:pPr>
      <w:keepNext/>
      <w:spacing w:after="0" w:line="240" w:lineRule="auto"/>
      <w:jc w:val="center"/>
      <w:outlineLvl w:val="3"/>
    </w:pPr>
    <w:rPr>
      <w:rFonts w:ascii="Times New Roman" w:eastAsia="Times New Roman" w:hAnsi="Times New Roman" w:cs="Times New Roman"/>
      <w:b/>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A4B"/>
    <w:pPr>
      <w:ind w:left="720"/>
      <w:contextualSpacing/>
    </w:pPr>
  </w:style>
  <w:style w:type="paragraph" w:styleId="Footer">
    <w:name w:val="footer"/>
    <w:basedOn w:val="Normal"/>
    <w:link w:val="FooterChar"/>
    <w:uiPriority w:val="99"/>
    <w:unhideWhenUsed/>
    <w:rsid w:val="00361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E9"/>
  </w:style>
  <w:style w:type="character" w:styleId="CommentReference">
    <w:name w:val="annotation reference"/>
    <w:basedOn w:val="DefaultParagraphFont"/>
    <w:uiPriority w:val="99"/>
    <w:semiHidden/>
    <w:unhideWhenUsed/>
    <w:rsid w:val="0058775A"/>
    <w:rPr>
      <w:sz w:val="16"/>
      <w:szCs w:val="16"/>
    </w:rPr>
  </w:style>
  <w:style w:type="paragraph" w:styleId="CommentText">
    <w:name w:val="annotation text"/>
    <w:basedOn w:val="Normal"/>
    <w:link w:val="CommentTextChar"/>
    <w:uiPriority w:val="99"/>
    <w:semiHidden/>
    <w:unhideWhenUsed/>
    <w:rsid w:val="0058775A"/>
    <w:pPr>
      <w:spacing w:line="240" w:lineRule="auto"/>
    </w:pPr>
    <w:rPr>
      <w:sz w:val="20"/>
      <w:szCs w:val="20"/>
    </w:rPr>
  </w:style>
  <w:style w:type="character" w:customStyle="1" w:styleId="CommentTextChar">
    <w:name w:val="Comment Text Char"/>
    <w:basedOn w:val="DefaultParagraphFont"/>
    <w:link w:val="CommentText"/>
    <w:uiPriority w:val="99"/>
    <w:semiHidden/>
    <w:rsid w:val="0058775A"/>
    <w:rPr>
      <w:sz w:val="20"/>
      <w:szCs w:val="20"/>
    </w:rPr>
  </w:style>
  <w:style w:type="paragraph" w:styleId="CommentSubject">
    <w:name w:val="annotation subject"/>
    <w:basedOn w:val="CommentText"/>
    <w:next w:val="CommentText"/>
    <w:link w:val="CommentSubjectChar"/>
    <w:uiPriority w:val="99"/>
    <w:semiHidden/>
    <w:unhideWhenUsed/>
    <w:rsid w:val="0058775A"/>
    <w:rPr>
      <w:b/>
      <w:bCs/>
    </w:rPr>
  </w:style>
  <w:style w:type="character" w:customStyle="1" w:styleId="CommentSubjectChar">
    <w:name w:val="Comment Subject Char"/>
    <w:basedOn w:val="CommentTextChar"/>
    <w:link w:val="CommentSubject"/>
    <w:uiPriority w:val="99"/>
    <w:semiHidden/>
    <w:rsid w:val="0058775A"/>
    <w:rPr>
      <w:b/>
      <w:bCs/>
      <w:sz w:val="20"/>
      <w:szCs w:val="20"/>
    </w:rPr>
  </w:style>
  <w:style w:type="paragraph" w:styleId="BalloonText">
    <w:name w:val="Balloon Text"/>
    <w:basedOn w:val="Normal"/>
    <w:link w:val="BalloonTextChar"/>
    <w:uiPriority w:val="99"/>
    <w:semiHidden/>
    <w:unhideWhenUsed/>
    <w:rsid w:val="00587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75A"/>
    <w:rPr>
      <w:rFonts w:ascii="Segoe UI" w:hAnsi="Segoe UI" w:cs="Segoe UI"/>
      <w:sz w:val="18"/>
      <w:szCs w:val="18"/>
    </w:rPr>
  </w:style>
  <w:style w:type="character" w:styleId="Hyperlink">
    <w:name w:val="Hyperlink"/>
    <w:basedOn w:val="DefaultParagraphFont"/>
    <w:uiPriority w:val="99"/>
    <w:unhideWhenUsed/>
    <w:rsid w:val="007E4129"/>
    <w:rPr>
      <w:color w:val="0000FF" w:themeColor="hyperlink"/>
      <w:u w:val="single"/>
    </w:rPr>
  </w:style>
  <w:style w:type="character" w:customStyle="1" w:styleId="Heading4Char">
    <w:name w:val="Heading 4 Char"/>
    <w:basedOn w:val="DefaultParagraphFont"/>
    <w:link w:val="Heading4"/>
    <w:uiPriority w:val="9"/>
    <w:rsid w:val="00354142"/>
    <w:rPr>
      <w:rFonts w:ascii="Times New Roman" w:eastAsia="Times New Roman" w:hAnsi="Times New Roman" w:cs="Times New Roman"/>
      <w:b/>
      <w:lang w:val="hr-HR" w:eastAsia="hr-HR"/>
    </w:rPr>
  </w:style>
  <w:style w:type="table" w:styleId="TableGrid">
    <w:name w:val="Table Grid"/>
    <w:basedOn w:val="TableNormal"/>
    <w:uiPriority w:val="39"/>
    <w:rsid w:val="0035414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142"/>
    <w:pPr>
      <w:autoSpaceDE w:val="0"/>
      <w:autoSpaceDN w:val="0"/>
      <w:adjustRightInd w:val="0"/>
      <w:spacing w:after="0" w:line="240" w:lineRule="auto"/>
    </w:pPr>
    <w:rPr>
      <w:rFonts w:ascii="Times New Roman" w:eastAsia="Calibri" w:hAnsi="Times New Roman" w:cs="Times New Roman"/>
      <w:color w:val="000000"/>
      <w:sz w:val="24"/>
      <w:szCs w:val="24"/>
      <w:lang w:val="hr-HR" w:eastAsia="zh-CN"/>
    </w:rPr>
  </w:style>
  <w:style w:type="paragraph" w:styleId="NoSpacing">
    <w:name w:val="No Spacing"/>
    <w:qFormat/>
    <w:rsid w:val="00781061"/>
    <w:pPr>
      <w:spacing w:after="0" w:line="240" w:lineRule="auto"/>
    </w:pPr>
    <w:rPr>
      <w:rFonts w:ascii="Calibri" w:eastAsia="Times New Roman"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5A921-999B-4758-9A98-4CB56FF4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4441</Characters>
  <Application>Microsoft Office Word</Application>
  <DocSecurity>0</DocSecurity>
  <Lines>116</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Puh</dc:creator>
  <cp:lastModifiedBy>Mihaela Skuric</cp:lastModifiedBy>
  <cp:revision>3</cp:revision>
  <cp:lastPrinted>2023-10-09T10:57:00Z</cp:lastPrinted>
  <dcterms:created xsi:type="dcterms:W3CDTF">2025-10-13T07:44:00Z</dcterms:created>
  <dcterms:modified xsi:type="dcterms:W3CDTF">2025-10-13T07:46:00Z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1587289dd8a29a1939fd10ad5a49435bc7eda2e9d895981b1ba8ce3c3a2b42ec</vt:lpwstr>
  </property>
</Properties>
</file>